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16" w:rsidRDefault="00933911">
      <w:pPr>
        <w:jc w:val="right"/>
      </w:pPr>
      <w:r>
        <w:rPr>
          <w:color w:val="000000"/>
          <w:sz w:val="32"/>
          <w:szCs w:val="32"/>
        </w:rPr>
        <w:t>ПРОЕКТ</w:t>
      </w:r>
    </w:p>
    <w:p w:rsidR="006C2416" w:rsidRDefault="006C2416">
      <w:pPr>
        <w:jc w:val="center"/>
      </w:pPr>
    </w:p>
    <w:p w:rsidR="006C2416" w:rsidRDefault="00933911">
      <w:pPr>
        <w:jc w:val="center"/>
      </w:pPr>
      <w:r>
        <w:rPr>
          <w:color w:val="000000"/>
          <w:sz w:val="32"/>
          <w:szCs w:val="32"/>
        </w:rPr>
        <w:t>ПРАВИТЕЛЬСТВО БРЯНСКОЙ ОБЛАСТИ</w:t>
      </w:r>
    </w:p>
    <w:p w:rsidR="006C2416" w:rsidRDefault="006C2416">
      <w:pPr>
        <w:pBdr>
          <w:bottom w:val="single" w:sz="12" w:space="0" w:color="000000"/>
        </w:pBdr>
        <w:jc w:val="center"/>
      </w:pPr>
    </w:p>
    <w:p w:rsidR="006C2416" w:rsidRDefault="006C2416"/>
    <w:p w:rsidR="006C2416" w:rsidRDefault="00933911">
      <w:pPr>
        <w:jc w:val="center"/>
      </w:pPr>
      <w:r>
        <w:rPr>
          <w:color w:val="000000"/>
          <w:sz w:val="32"/>
          <w:szCs w:val="32"/>
        </w:rPr>
        <w:t>ПОСТАНОВЛЕНИЕ</w:t>
      </w:r>
    </w:p>
    <w:p w:rsidR="006C2416" w:rsidRDefault="00933911">
      <w:pPr>
        <w:jc w:val="both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6C2416" w:rsidRDefault="00933911">
      <w:pPr>
        <w:jc w:val="both"/>
      </w:pPr>
      <w:r>
        <w:rPr>
          <w:color w:val="000000"/>
          <w:sz w:val="28"/>
          <w:szCs w:val="28"/>
        </w:rPr>
        <w:t xml:space="preserve">от                                   №  </w:t>
      </w:r>
    </w:p>
    <w:p w:rsidR="006C2416" w:rsidRDefault="00933911">
      <w:pPr>
        <w:jc w:val="both"/>
      </w:pPr>
      <w:r>
        <w:rPr>
          <w:color w:val="000000"/>
          <w:sz w:val="28"/>
          <w:szCs w:val="28"/>
        </w:rPr>
        <w:t>г. Брянск</w:t>
      </w:r>
    </w:p>
    <w:p w:rsidR="006C2416" w:rsidRDefault="006C2416">
      <w:pPr>
        <w:ind w:right="4118"/>
        <w:jc w:val="both"/>
      </w:pPr>
    </w:p>
    <w:tbl>
      <w:tblPr>
        <w:tblW w:w="11157" w:type="dxa"/>
        <w:tblLook w:val="04A0" w:firstRow="1" w:lastRow="0" w:firstColumn="1" w:lastColumn="0" w:noHBand="0" w:noVBand="1"/>
      </w:tblPr>
      <w:tblGrid>
        <w:gridCol w:w="6204"/>
        <w:gridCol w:w="4953"/>
      </w:tblGrid>
      <w:tr w:rsidR="006C2416">
        <w:tc>
          <w:tcPr>
            <w:tcW w:w="6204" w:type="dxa"/>
            <w:shd w:val="clear" w:color="FFFFFF" w:fill="FFFFFF"/>
          </w:tcPr>
          <w:p w:rsidR="006C2416" w:rsidRDefault="00933911">
            <w:pPr>
              <w:jc w:val="both"/>
            </w:pPr>
            <w:r>
              <w:rPr>
                <w:sz w:val="28"/>
                <w:szCs w:val="28"/>
              </w:rPr>
              <w:t xml:space="preserve">О внесении изменений в постановление Правительства Брянской области от 27 февраля 2023 года № 65-п </w:t>
            </w:r>
          </w:p>
          <w:p w:rsidR="006C2416" w:rsidRDefault="006C2416">
            <w:pPr>
              <w:jc w:val="both"/>
            </w:pPr>
          </w:p>
          <w:p w:rsidR="006C2416" w:rsidRDefault="006C2416">
            <w:pPr>
              <w:jc w:val="both"/>
            </w:pPr>
          </w:p>
        </w:tc>
        <w:tc>
          <w:tcPr>
            <w:tcW w:w="4953" w:type="dxa"/>
            <w:shd w:val="clear" w:color="FFFFFF" w:fill="FFFFFF"/>
          </w:tcPr>
          <w:p w:rsidR="006C2416" w:rsidRDefault="006C2416">
            <w:pPr>
              <w:jc w:val="both"/>
            </w:pPr>
          </w:p>
        </w:tc>
      </w:tr>
    </w:tbl>
    <w:p w:rsidR="006C2416" w:rsidRDefault="006C2416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6C2416" w:rsidRDefault="0093391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положений, установленных постановлением Правительства Российской Федерации от 10 ноября 2023 года № 1889 «О внесении изменений в постановление Правительства Российской Федерации от 6 февраля 2023 года № 168», </w:t>
      </w:r>
      <w:r>
        <w:rPr>
          <w:rFonts w:eastAsia="Calibri"/>
          <w:color w:val="000000"/>
          <w:sz w:val="28"/>
          <w:szCs w:val="28"/>
        </w:rPr>
        <w:t>Правительство Брянской области</w:t>
      </w:r>
    </w:p>
    <w:p w:rsidR="006C2416" w:rsidRDefault="0093391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eastAsia="Calibri"/>
          <w:sz w:val="28"/>
          <w:szCs w:val="28"/>
        </w:rPr>
        <w:t>:</w:t>
      </w:r>
    </w:p>
    <w:p w:rsidR="006C2416" w:rsidRDefault="006C2416">
      <w:pPr>
        <w:ind w:firstLine="708"/>
        <w:jc w:val="both"/>
        <w:rPr>
          <w:rFonts w:eastAsia="Calibri"/>
          <w:sz w:val="28"/>
          <w:szCs w:val="28"/>
        </w:rPr>
      </w:pPr>
    </w:p>
    <w:p w:rsidR="006C2416" w:rsidRDefault="00933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Правительства Брянской области от 27 февраля 2023 года № 65-п «Об утверждении порядка предоставления в 2023 году субсидий отдельным категориям граждан Брянской области на покупку и установку газоиспользующего обору</w:t>
      </w:r>
      <w:r>
        <w:rPr>
          <w:sz w:val="28"/>
          <w:szCs w:val="28"/>
        </w:rPr>
        <w:t xml:space="preserve">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</w:t>
      </w:r>
      <w:r>
        <w:rPr>
          <w:sz w:val="28"/>
          <w:szCs w:val="28"/>
        </w:rPr>
        <w:t>при догазификации и Правил использования 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</w:t>
      </w:r>
      <w:r>
        <w:rPr>
          <w:sz w:val="28"/>
          <w:szCs w:val="28"/>
        </w:rPr>
        <w:t xml:space="preserve">ссийской Федерации, в целях 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</w:t>
      </w:r>
      <w:r>
        <w:rPr>
          <w:sz w:val="28"/>
          <w:szCs w:val="28"/>
        </w:rPr>
        <w:t>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догазификации» (в редакции постановле</w:t>
      </w:r>
      <w:r>
        <w:rPr>
          <w:sz w:val="28"/>
          <w:szCs w:val="28"/>
        </w:rPr>
        <w:t>ния Правительства Брянской области от 19 июня 2023 года № 247-п) следующие изменения:</w:t>
      </w:r>
    </w:p>
    <w:p w:rsidR="006C2416" w:rsidRDefault="00933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>
        <w:rPr>
          <w:rFonts w:eastAsia="Calibri"/>
          <w:sz w:val="28"/>
          <w:szCs w:val="28"/>
        </w:rPr>
        <w:t xml:space="preserve">Внести в </w:t>
      </w:r>
      <w:r>
        <w:rPr>
          <w:sz w:val="28"/>
          <w:szCs w:val="28"/>
        </w:rPr>
        <w:t>Порядок предоставления в 2023 году субсидий отдельным категориям граждан Брянской области на покупку и установку газоиспользующего оборудования и проведение</w:t>
      </w:r>
      <w:r>
        <w:rPr>
          <w:sz w:val="28"/>
          <w:szCs w:val="28"/>
        </w:rPr>
        <w:t xml:space="preserve">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у</w:t>
      </w:r>
      <w:r>
        <w:rPr>
          <w:sz w:val="28"/>
          <w:szCs w:val="28"/>
        </w:rPr>
        <w:t>твержденный вышеуказанным постановлением, следующие изменения:</w:t>
      </w:r>
    </w:p>
    <w:p w:rsidR="006C2416" w:rsidRDefault="00933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пункте 5:</w:t>
      </w:r>
    </w:p>
    <w:p w:rsidR="006C2416" w:rsidRDefault="00933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1.1.1.1. В подпункте б слова «боевых действий» заменить словом «войны»;</w:t>
      </w:r>
    </w:p>
    <w:p w:rsidR="006C2416" w:rsidRDefault="00933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1.1.1.2. Подпункт г изложить в следующей редакции: </w:t>
      </w:r>
    </w:p>
    <w:p w:rsidR="006C2416" w:rsidRDefault="00933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</w:t>
      </w:r>
      <w:bookmarkStart w:id="0" w:name="_GoBack"/>
      <w:bookmarkEnd w:id="0"/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членам семей погибших (умерших) инвалидов войны</w:t>
      </w:r>
      <w:r>
        <w:rPr>
          <w:sz w:val="28"/>
          <w:szCs w:val="28"/>
        </w:rPr>
        <w:t>, участников Великой Отечественной войны, ветеранов боевых действий».</w:t>
      </w:r>
    </w:p>
    <w:p w:rsidR="006C2416" w:rsidRDefault="00933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Подпункт б пункта 6 изложить в следующей редакции: 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«б) наличие заключенного после 31 декабря 2022 года договора о подключении (технологическом присоединении) либо дополнительного</w:t>
      </w:r>
      <w:r>
        <w:rPr>
          <w:sz w:val="28"/>
          <w:szCs w:val="28"/>
        </w:rPr>
        <w:t xml:space="preserve"> соглашения к договору о подключении (технологическом присоединении), заключенному до 31 декабря 2022 года в соответствии с </w:t>
      </w:r>
      <w:r>
        <w:rPr>
          <w:rFonts w:eastAsia="Arial"/>
          <w:sz w:val="28"/>
          <w:szCs w:val="28"/>
        </w:rPr>
        <w:t>пунктом 12</w:t>
      </w:r>
      <w:r>
        <w:rPr>
          <w:sz w:val="28"/>
          <w:szCs w:val="28"/>
        </w:rPr>
        <w:t xml:space="preserve"> Правил подключения.».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Подпункт а пункта 8 изложить в следующей редакции: 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 расходы на покупку и установку газои</w:t>
      </w:r>
      <w:r>
        <w:rPr>
          <w:sz w:val="28"/>
          <w:szCs w:val="28"/>
        </w:rPr>
        <w:t>спользующего оборудования: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счетчик газа (прибор учета газа);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газовый водонагреватель;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произведенные на территории Российской Федерации в соответствии с критериями и порядком подтверждения, установленными </w:t>
      </w:r>
      <w:r>
        <w:rPr>
          <w:rFonts w:eastAsia="Arial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 xml:space="preserve"> 17 июля 2015 года № 719 «О подтверждении производства промышленной продукции на территории Российской Федерации», котел (газовый двухконтурный или одноконтурный напольный котел, газовый двухконтурный или одноконтурный настенный котел), газовая плита, газо</w:t>
      </w:r>
      <w:r>
        <w:rPr>
          <w:sz w:val="28"/>
          <w:szCs w:val="28"/>
        </w:rPr>
        <w:t>вая варочная панель, колонка или бойлер косвенного нагрева, система контроля загазованности;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иное допустимое к установке в домовладениях оборудование, работающее на природном газе и необходимое для отопления (теплоснабжения) домовладений и для пищеприготов</w:t>
      </w:r>
      <w:r>
        <w:rPr>
          <w:sz w:val="28"/>
          <w:szCs w:val="28"/>
        </w:rPr>
        <w:t>ления;».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В пункте 11 слова «семьи, социальной и демографической политики» заменить словами «социальной политики и занятости населения». 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 В пункте 12: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1.1.5.1. Абзац седьмой изложить в следующей редакции: 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«Граждане, относящиеся к категории, указанной в подпункте «е» пункта 5 настоящего Порядка, для исчисления величины среднедушевого дохода и </w:t>
      </w:r>
      <w:r>
        <w:rPr>
          <w:sz w:val="28"/>
          <w:szCs w:val="28"/>
        </w:rPr>
        <w:lastRenderedPageBreak/>
        <w:t>подтверждения статуса малоимущего одиноко проживающего гражданина или малоимущей семьи обращаются в ОСЗН по месту жит</w:t>
      </w:r>
      <w:r>
        <w:rPr>
          <w:sz w:val="28"/>
          <w:szCs w:val="28"/>
        </w:rPr>
        <w:t>ельства.»;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1.1.5.2. Абзацы девятый, десятый, одиннадцатый исключить;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1.1.5.3. Дополнить абзацем следующего содержания: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«Подтверждение статуса малоимущего одиноко проживающего гражданина или малоимущей семьи, оформляется в виде справки, выдаваемой в соответ</w:t>
      </w:r>
      <w:r>
        <w:rPr>
          <w:sz w:val="28"/>
          <w:szCs w:val="28"/>
        </w:rPr>
        <w:t>ствии с порядком, утверждаемым приказом департамента социальной политики и занятости населения Брянской области.».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В абзаце четвертом пункта 13 слова «государственным бюджетным (автономным) учреждением – комплексным центром социального обслуживания </w:t>
      </w:r>
      <w:r>
        <w:rPr>
          <w:sz w:val="28"/>
          <w:szCs w:val="28"/>
        </w:rPr>
        <w:t>населения» заменить словом «ОСЗН».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 Правил и</w:t>
      </w:r>
      <w:r>
        <w:rPr>
          <w:sz w:val="28"/>
          <w:szCs w:val="28"/>
        </w:rPr>
        <w:t xml:space="preserve">спользования 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r>
        <w:rPr>
          <w:sz w:val="28"/>
          <w:szCs w:val="28"/>
        </w:rPr>
        <w:t>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</w:t>
      </w:r>
      <w:r>
        <w:rPr>
          <w:sz w:val="28"/>
          <w:szCs w:val="28"/>
        </w:rPr>
        <w:t>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утвержденных вышеуказанным постановлением, слова «</w:t>
      </w:r>
      <w:r>
        <w:rPr>
          <w:sz w:val="28"/>
          <w:szCs w:val="28"/>
        </w:rPr>
        <w:t>семьи, социальной и демографической политики» заменить словами «социальной политики и занятости населения».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действие настоящего постановления распространяется на правоотношения, возникшие со 2 марта 2023 года.</w:t>
      </w:r>
    </w:p>
    <w:p w:rsidR="006C2416" w:rsidRDefault="00933911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>
        <w:rPr>
          <w:sz w:val="28"/>
          <w:szCs w:val="28"/>
        </w:rPr>
        <w:t>постановления возложить на заместителя Губернатора Брянской области Агафонову И.В.</w:t>
      </w:r>
    </w:p>
    <w:p w:rsidR="006C2416" w:rsidRDefault="006C2416">
      <w:pPr>
        <w:jc w:val="both"/>
        <w:rPr>
          <w:sz w:val="28"/>
          <w:szCs w:val="28"/>
        </w:rPr>
      </w:pPr>
    </w:p>
    <w:p w:rsidR="006C2416" w:rsidRDefault="006C2416">
      <w:pPr>
        <w:jc w:val="both"/>
        <w:rPr>
          <w:sz w:val="28"/>
          <w:szCs w:val="28"/>
        </w:rPr>
      </w:pPr>
    </w:p>
    <w:p w:rsidR="006C2416" w:rsidRDefault="006C2416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6C2416">
        <w:tc>
          <w:tcPr>
            <w:tcW w:w="4785" w:type="dxa"/>
          </w:tcPr>
          <w:p w:rsidR="006C2416" w:rsidRDefault="009339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</w:t>
            </w:r>
          </w:p>
        </w:tc>
        <w:tc>
          <w:tcPr>
            <w:tcW w:w="4785" w:type="dxa"/>
          </w:tcPr>
          <w:p w:rsidR="006C2416" w:rsidRDefault="009339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Богомаз</w:t>
            </w:r>
          </w:p>
          <w:p w:rsidR="006C2416" w:rsidRDefault="006C2416">
            <w:pPr>
              <w:rPr>
                <w:sz w:val="28"/>
                <w:szCs w:val="28"/>
              </w:rPr>
            </w:pPr>
          </w:p>
        </w:tc>
      </w:tr>
    </w:tbl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933911">
      <w:r>
        <w:rPr>
          <w:color w:val="000000"/>
          <w:sz w:val="28"/>
          <w:szCs w:val="28"/>
        </w:rPr>
        <w:lastRenderedPageBreak/>
        <w:t>Заместитель Губернатора</w:t>
      </w:r>
    </w:p>
    <w:p w:rsidR="006C2416" w:rsidRDefault="00933911">
      <w:pPr>
        <w:jc w:val="both"/>
      </w:pPr>
      <w:r>
        <w:rPr>
          <w:color w:val="000000"/>
          <w:sz w:val="28"/>
          <w:szCs w:val="28"/>
        </w:rPr>
        <w:t xml:space="preserve">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  <w:shd w:val="clear" w:color="auto" w:fill="FFFFFF"/>
        </w:rPr>
        <w:t>Ю.В.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hyperlink r:id="rId9" w:tooltip="http://www.bryanskobl.ru/deputy-governor/filipenko" w:history="1">
        <w:r>
          <w:rPr>
            <w:bCs/>
            <w:color w:val="000000"/>
            <w:sz w:val="28"/>
            <w:szCs w:val="28"/>
            <w:shd w:val="clear" w:color="auto" w:fill="FFFFFF"/>
          </w:rPr>
          <w:t>Филипенко</w:t>
        </w:r>
      </w:hyperlink>
    </w:p>
    <w:p w:rsidR="006C2416" w:rsidRDefault="006C2416"/>
    <w:p w:rsidR="006C2416" w:rsidRDefault="006C2416"/>
    <w:p w:rsidR="006C2416" w:rsidRDefault="006C2416"/>
    <w:p w:rsidR="006C2416" w:rsidRDefault="00933911">
      <w:r>
        <w:rPr>
          <w:color w:val="000000"/>
          <w:sz w:val="28"/>
          <w:szCs w:val="28"/>
        </w:rPr>
        <w:t>Директор департамента социальной</w:t>
      </w:r>
    </w:p>
    <w:p w:rsidR="006C2416" w:rsidRDefault="00933911">
      <w:r>
        <w:rPr>
          <w:color w:val="000000"/>
          <w:sz w:val="28"/>
          <w:szCs w:val="28"/>
        </w:rPr>
        <w:t>политики и занятости населения</w:t>
      </w:r>
    </w:p>
    <w:p w:rsidR="006C2416" w:rsidRDefault="00933911">
      <w:pPr>
        <w:jc w:val="both"/>
      </w:pPr>
      <w:r>
        <w:rPr>
          <w:color w:val="000000"/>
          <w:sz w:val="28"/>
          <w:szCs w:val="28"/>
        </w:rPr>
        <w:t xml:space="preserve">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Е.А. Петров</w:t>
      </w:r>
    </w:p>
    <w:p w:rsidR="006C2416" w:rsidRDefault="006C2416"/>
    <w:p w:rsidR="006C2416" w:rsidRDefault="006C2416"/>
    <w:p w:rsidR="006C2416" w:rsidRDefault="006C2416"/>
    <w:p w:rsidR="006C2416" w:rsidRDefault="00933911">
      <w:pPr>
        <w:rPr>
          <w:color w:val="000000"/>
        </w:rPr>
      </w:pPr>
      <w:r>
        <w:rPr>
          <w:color w:val="000000"/>
          <w:sz w:val="28"/>
          <w:szCs w:val="28"/>
        </w:rPr>
        <w:t>Начальник отдела д</w:t>
      </w:r>
      <w:r>
        <w:rPr>
          <w:color w:val="000000"/>
          <w:sz w:val="28"/>
          <w:szCs w:val="28"/>
        </w:rPr>
        <w:t xml:space="preserve">елопроизводства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Н.В. Митрошина</w:t>
      </w: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6C2416">
      <w:pPr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6C2416" w:rsidRDefault="00933911">
      <w:r>
        <w:t>Исп.: Шепетун В.Л.</w:t>
      </w:r>
    </w:p>
    <w:p w:rsidR="006C2416" w:rsidRDefault="00933911">
      <w:r>
        <w:t xml:space="preserve">          30-32-69</w:t>
      </w:r>
    </w:p>
    <w:sectPr w:rsidR="006C2416">
      <w:headerReference w:type="default" r:id="rId10"/>
      <w:headerReference w:type="first" r:id="rId11"/>
      <w:footerReference w:type="first" r:id="rId12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16" w:rsidRDefault="00933911">
      <w:r>
        <w:separator/>
      </w:r>
    </w:p>
  </w:endnote>
  <w:endnote w:type="continuationSeparator" w:id="0">
    <w:p w:rsidR="006C2416" w:rsidRDefault="00933911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6" w:rsidRDefault="006C24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16" w:rsidRDefault="00933911">
      <w:r>
        <w:separator/>
      </w:r>
    </w:p>
  </w:footnote>
  <w:footnote w:type="continuationSeparator" w:id="0">
    <w:p w:rsidR="006C2416" w:rsidRDefault="0093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6" w:rsidRDefault="00933911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C2416" w:rsidRDefault="006C241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16" w:rsidRDefault="006C24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15D50"/>
    <w:multiLevelType w:val="hybridMultilevel"/>
    <w:tmpl w:val="1870CDF4"/>
    <w:lvl w:ilvl="0" w:tplc="8B2EF6FE">
      <w:start w:val="1"/>
      <w:numFmt w:val="decimal"/>
      <w:lvlText w:val="%1."/>
      <w:lvlJc w:val="left"/>
    </w:lvl>
    <w:lvl w:ilvl="1" w:tplc="0890B552">
      <w:start w:val="1"/>
      <w:numFmt w:val="lowerLetter"/>
      <w:lvlText w:val="%2."/>
      <w:lvlJc w:val="left"/>
      <w:pPr>
        <w:ind w:left="1440" w:hanging="360"/>
      </w:pPr>
    </w:lvl>
    <w:lvl w:ilvl="2" w:tplc="97DE95E0">
      <w:start w:val="1"/>
      <w:numFmt w:val="lowerRoman"/>
      <w:lvlText w:val="%3."/>
      <w:lvlJc w:val="right"/>
      <w:pPr>
        <w:ind w:left="2160" w:hanging="180"/>
      </w:pPr>
    </w:lvl>
    <w:lvl w:ilvl="3" w:tplc="5E9288D4">
      <w:start w:val="1"/>
      <w:numFmt w:val="decimal"/>
      <w:lvlText w:val="%4."/>
      <w:lvlJc w:val="left"/>
      <w:pPr>
        <w:ind w:left="2880" w:hanging="360"/>
      </w:pPr>
    </w:lvl>
    <w:lvl w:ilvl="4" w:tplc="CDBE9CDA">
      <w:start w:val="1"/>
      <w:numFmt w:val="lowerLetter"/>
      <w:lvlText w:val="%5."/>
      <w:lvlJc w:val="left"/>
      <w:pPr>
        <w:ind w:left="3600" w:hanging="360"/>
      </w:pPr>
    </w:lvl>
    <w:lvl w:ilvl="5" w:tplc="D8501124">
      <w:start w:val="1"/>
      <w:numFmt w:val="lowerRoman"/>
      <w:lvlText w:val="%6."/>
      <w:lvlJc w:val="right"/>
      <w:pPr>
        <w:ind w:left="4320" w:hanging="180"/>
      </w:pPr>
    </w:lvl>
    <w:lvl w:ilvl="6" w:tplc="E9AE7028">
      <w:start w:val="1"/>
      <w:numFmt w:val="decimal"/>
      <w:lvlText w:val="%7."/>
      <w:lvlJc w:val="left"/>
      <w:pPr>
        <w:ind w:left="5040" w:hanging="360"/>
      </w:pPr>
    </w:lvl>
    <w:lvl w:ilvl="7" w:tplc="4E0A37CE">
      <w:start w:val="1"/>
      <w:numFmt w:val="lowerLetter"/>
      <w:lvlText w:val="%8."/>
      <w:lvlJc w:val="left"/>
      <w:pPr>
        <w:ind w:left="5760" w:hanging="360"/>
      </w:pPr>
    </w:lvl>
    <w:lvl w:ilvl="8" w:tplc="5C1622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16"/>
    <w:rsid w:val="006C2416"/>
    <w:rsid w:val="0093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sz w:val="24"/>
    </w:rPr>
  </w:style>
  <w:style w:type="paragraph" w:styleId="a4">
    <w:name w:val="No Spacing"/>
    <w:uiPriority w:val="1"/>
    <w:qFormat/>
    <w:rPr>
      <w:sz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sz w:val="24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4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sz w:val="24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sz w:val="24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sz w:val="24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sz w:val="24"/>
    </w:rPr>
  </w:style>
  <w:style w:type="paragraph" w:styleId="23">
    <w:name w:val="toc 2"/>
    <w:uiPriority w:val="39"/>
    <w:unhideWhenUsed/>
    <w:pPr>
      <w:spacing w:after="57"/>
      <w:ind w:left="283"/>
    </w:pPr>
    <w:rPr>
      <w:sz w:val="24"/>
    </w:rPr>
  </w:style>
  <w:style w:type="paragraph" w:styleId="31">
    <w:name w:val="toc 3"/>
    <w:uiPriority w:val="39"/>
    <w:unhideWhenUsed/>
    <w:pPr>
      <w:spacing w:after="57"/>
      <w:ind w:left="567"/>
    </w:pPr>
    <w:rPr>
      <w:sz w:val="24"/>
    </w:rPr>
  </w:style>
  <w:style w:type="paragraph" w:styleId="41">
    <w:name w:val="toc 4"/>
    <w:uiPriority w:val="39"/>
    <w:unhideWhenUsed/>
    <w:pPr>
      <w:spacing w:after="57"/>
      <w:ind w:left="850"/>
    </w:pPr>
    <w:rPr>
      <w:sz w:val="24"/>
    </w:rPr>
  </w:style>
  <w:style w:type="paragraph" w:styleId="51">
    <w:name w:val="toc 5"/>
    <w:uiPriority w:val="39"/>
    <w:unhideWhenUsed/>
    <w:pPr>
      <w:spacing w:after="57"/>
      <w:ind w:left="1134"/>
    </w:pPr>
    <w:rPr>
      <w:sz w:val="24"/>
    </w:rPr>
  </w:style>
  <w:style w:type="paragraph" w:styleId="61">
    <w:name w:val="toc 6"/>
    <w:uiPriority w:val="39"/>
    <w:unhideWhenUsed/>
    <w:pPr>
      <w:spacing w:after="57"/>
      <w:ind w:left="1417"/>
    </w:pPr>
    <w:rPr>
      <w:sz w:val="24"/>
    </w:rPr>
  </w:style>
  <w:style w:type="paragraph" w:styleId="71">
    <w:name w:val="toc 7"/>
    <w:uiPriority w:val="39"/>
    <w:unhideWhenUsed/>
    <w:pPr>
      <w:spacing w:after="57"/>
      <w:ind w:left="1701"/>
    </w:pPr>
    <w:rPr>
      <w:sz w:val="24"/>
    </w:rPr>
  </w:style>
  <w:style w:type="paragraph" w:styleId="81">
    <w:name w:val="toc 8"/>
    <w:uiPriority w:val="39"/>
    <w:unhideWhenUsed/>
    <w:pPr>
      <w:spacing w:after="57"/>
      <w:ind w:left="1984"/>
    </w:pPr>
    <w:rPr>
      <w:sz w:val="24"/>
    </w:rPr>
  </w:style>
  <w:style w:type="paragraph" w:styleId="91">
    <w:name w:val="toc 9"/>
    <w:uiPriority w:val="39"/>
    <w:unhideWhenUsed/>
    <w:pPr>
      <w:spacing w:after="57"/>
      <w:ind w:left="2268"/>
    </w:pPr>
    <w:rPr>
      <w:sz w:val="24"/>
    </w:rPr>
  </w:style>
  <w:style w:type="paragraph" w:styleId="af8">
    <w:name w:val="TOC Heading"/>
    <w:uiPriority w:val="39"/>
    <w:unhideWhenUsed/>
    <w:rPr>
      <w:sz w:val="24"/>
    </w:rPr>
  </w:style>
  <w:style w:type="paragraph" w:styleId="af9">
    <w:name w:val="table of figures"/>
    <w:uiPriority w:val="99"/>
    <w:unhideWhenUsed/>
    <w:rPr>
      <w:sz w:val="24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szCs w:val="24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yanskobl.ru/deputy-governor/filipenk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5355-2B90-4B93-9F37-8DBFABE9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Шепетун Владимир Леонидович</cp:lastModifiedBy>
  <cp:revision>19</cp:revision>
  <dcterms:created xsi:type="dcterms:W3CDTF">2023-09-04T08:35:00Z</dcterms:created>
  <dcterms:modified xsi:type="dcterms:W3CDTF">2023-11-29T14:59:00Z</dcterms:modified>
</cp:coreProperties>
</file>