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24"/>
        <w:ind w:left="540" w:right="64"/>
        <w:jc w:val="center"/>
        <w:tabs>
          <w:tab w:val="left" w:pos="540" w:leader="none"/>
        </w:tabs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3601" cy="493776"/>
                <wp:effectExtent l="0" t="0" r="0" b="0"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355163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63600" cy="49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6.5pt;height:38.9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824"/>
        <w:ind w:right="24" w:firstLine="426"/>
        <w:jc w:val="center"/>
        <w:spacing w:lineRule="exact" w:line="312"/>
        <w:shd w:val="clear" w:fill="FFFFFF" w:color="auto"/>
        <w:rPr>
          <w:color w:val="800000"/>
        </w:rPr>
      </w:pPr>
      <w:r>
        <w:rPr>
          <w:b/>
          <w:color w:val="800000"/>
          <w:spacing w:val="-8"/>
          <w:sz w:val="16"/>
          <w:szCs w:val="16"/>
        </w:rPr>
        <w:t xml:space="preserve">ДЕПАРТАМЕНТ  СЕМЬИ, СОЦИАЛЬНОЙ  И ДЕМОГРАФИЧЕСКОЙ  ПОЛИТИКИ  БРЯНСКОЙ  ОБЛАСТИ</w:t>
      </w:r>
      <w:r>
        <w:rPr>
          <w:b/>
          <w:color w:val="800000"/>
          <w:spacing w:val="-8"/>
          <w:sz w:val="16"/>
          <w:szCs w:val="16"/>
        </w:rPr>
      </w:r>
      <w:r/>
    </w:p>
    <w:p>
      <w:pPr>
        <w:pStyle w:val="824"/>
        <w:ind w:left="540" w:right="64"/>
        <w:jc w:val="center"/>
        <w:tabs>
          <w:tab w:val="left" w:pos="540" w:leader="none"/>
        </w:tabs>
        <w:rPr>
          <w:lang w:val="en-US"/>
        </w:rPr>
      </w:pPr>
      <w:r>
        <w:rPr>
          <w:sz w:val="32"/>
          <w:szCs w:val="32"/>
          <w:lang w:val="en-US"/>
        </w:rPr>
      </w:r>
      <w:r>
        <w:rPr>
          <w:sz w:val="32"/>
          <w:szCs w:val="32"/>
          <w:lang w:val="en-US"/>
        </w:rPr>
      </w:r>
      <w:r/>
    </w:p>
    <w:p>
      <w:pPr>
        <w:pStyle w:val="824"/>
        <w:jc w:val="center"/>
        <w:rPr>
          <w:color w:val="FF0000"/>
        </w:rPr>
      </w:pPr>
      <w:r>
        <w:rPr>
          <w:b/>
          <w:color w:val="FF0000"/>
          <w:sz w:val="40"/>
          <w:szCs w:val="40"/>
        </w:rPr>
        <w:t xml:space="preserve">ПАМЯТКА </w:t>
      </w:r>
      <w:r>
        <w:rPr>
          <w:b/>
          <w:color w:val="FF0000"/>
          <w:sz w:val="40"/>
          <w:szCs w:val="40"/>
        </w:rPr>
      </w:r>
      <w:r/>
    </w:p>
    <w:p>
      <w:pPr>
        <w:pStyle w:val="824"/>
        <w:jc w:val="center"/>
        <w:rPr>
          <w:color w:val="FF0000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/>
    </w:p>
    <w:p>
      <w:pPr>
        <w:pStyle w:val="824"/>
        <w:jc w:val="center"/>
        <w:spacing w:lineRule="auto" w:line="360"/>
        <w:rPr>
          <w:color w:val="FF0000"/>
          <w:lang w:val="en-US"/>
        </w:rPr>
      </w:pPr>
      <w:r>
        <w:rPr>
          <w:b/>
          <w:color w:val="FF0000"/>
          <w:sz w:val="40"/>
          <w:szCs w:val="40"/>
        </w:rPr>
        <w:t xml:space="preserve">о мерах социальной </w:t>
      </w:r>
      <w:r>
        <w:rPr>
          <w:b/>
          <w:color w:val="FF0000"/>
          <w:sz w:val="40"/>
          <w:szCs w:val="40"/>
          <w:lang w:val="en-US"/>
        </w:rPr>
      </w:r>
      <w:r/>
    </w:p>
    <w:p>
      <w:pPr>
        <w:pStyle w:val="824"/>
        <w:jc w:val="center"/>
        <w:spacing w:lineRule="auto" w:line="360"/>
        <w:rPr>
          <w:b/>
          <w:color w:val="FF0000"/>
          <w:sz w:val="40"/>
          <w:highlight w:val="none"/>
        </w:rPr>
      </w:pPr>
      <w:r>
        <w:rPr>
          <w:b/>
          <w:color w:val="FF0000"/>
          <w:sz w:val="40"/>
          <w:szCs w:val="40"/>
        </w:rPr>
        <w:t xml:space="preserve">по</w:t>
      </w:r>
      <w:r>
        <w:rPr>
          <w:b/>
          <w:color w:val="FF0000"/>
          <w:sz w:val="40"/>
          <w:szCs w:val="40"/>
        </w:rPr>
        <w:t xml:space="preserve">д</w:t>
      </w:r>
      <w:r>
        <w:rPr>
          <w:b/>
          <w:color w:val="FF0000"/>
          <w:sz w:val="40"/>
          <w:szCs w:val="40"/>
        </w:rPr>
        <w:t xml:space="preserve">держк</w:t>
      </w:r>
      <w:r>
        <w:rPr>
          <w:b/>
          <w:color w:val="FF0000"/>
          <w:sz w:val="40"/>
          <w:szCs w:val="40"/>
        </w:rPr>
        <w:t xml:space="preserve">и</w:t>
      </w:r>
      <w:r>
        <w:rPr>
          <w:b/>
          <w:color w:val="FF0000"/>
          <w:sz w:val="40"/>
          <w:szCs w:val="40"/>
        </w:rPr>
        <w:t xml:space="preserve"> детей – сирот и детей,  оставшихся без поп</w:t>
      </w:r>
      <w:r>
        <w:rPr>
          <w:b/>
          <w:color w:val="FF0000"/>
          <w:sz w:val="40"/>
          <w:szCs w:val="40"/>
        </w:rPr>
        <w:t xml:space="preserve">е</w:t>
      </w:r>
      <w:r>
        <w:rPr>
          <w:b/>
          <w:color w:val="FF0000"/>
          <w:sz w:val="40"/>
          <w:szCs w:val="40"/>
        </w:rPr>
        <w:t xml:space="preserve">чения родителей</w:t>
      </w:r>
      <w:r>
        <w:rPr>
          <w:b/>
          <w:iCs/>
          <w:color w:val="FF0000"/>
          <w:sz w:val="40"/>
          <w:szCs w:val="40"/>
        </w:rPr>
        <w:t xml:space="preserve"> </w:t>
      </w:r>
      <w:r>
        <w:rPr>
          <w:b/>
          <w:iCs/>
          <w:color w:val="FF0000"/>
          <w:sz w:val="40"/>
          <w:szCs w:val="40"/>
        </w:rPr>
      </w:r>
      <w:r/>
    </w:p>
    <w:p>
      <w:pPr>
        <w:pStyle w:val="824"/>
        <w:jc w:val="center"/>
        <w:spacing w:lineRule="auto" w:line="360"/>
        <w:rPr>
          <w:b/>
          <w:color w:val="FF0000"/>
          <w:sz w:val="40"/>
          <w:szCs w:val="40"/>
        </w:rPr>
      </w:pPr>
      <w:r>
        <w:rPr>
          <w:b/>
          <w:iCs/>
          <w:color w:val="FF0000"/>
          <w:sz w:val="40"/>
          <w:szCs w:val="40"/>
          <w:highlight w:val="none"/>
        </w:rPr>
      </w:r>
      <w:r>
        <w:rPr>
          <w:b/>
          <w:iCs/>
          <w:color w:val="FF0000"/>
          <w:sz w:val="40"/>
          <w:szCs w:val="40"/>
          <w:highlight w:val="none"/>
        </w:rPr>
      </w:r>
      <w:r/>
    </w:p>
    <w:p>
      <w:pPr>
        <w:pStyle w:val="824"/>
        <w:numPr>
          <w:ilvl w:val="0"/>
          <w:numId w:val="6"/>
        </w:numPr>
        <w:ind w:left="0" w:firstLine="540"/>
        <w:jc w:val="both"/>
        <w:tabs>
          <w:tab w:val="num" w:pos="0" w:leader="none"/>
          <w:tab w:val="clear" w:pos="1260" w:leader="none"/>
        </w:tabs>
      </w:pPr>
      <w:r>
        <w:t xml:space="preserve">   </w:t>
      </w:r>
      <w:r>
        <w:t xml:space="preserve">В соответствии с Законом Брянской области от 14.12.2007 №168-З</w:t>
      </w:r>
      <w:r>
        <w:t xml:space="preserve"> </w:t>
      </w:r>
      <w:r>
        <w:t xml:space="preserve">«О размере, порядке назначения и выплаты ежемесячных денежных средств на содержание и проезд р</w:t>
      </w:r>
      <w:r>
        <w:t xml:space="preserve">е</w:t>
      </w:r>
      <w:r>
        <w:t xml:space="preserve">бенка, пер</w:t>
      </w:r>
      <w:r>
        <w:t xml:space="preserve">е</w:t>
      </w:r>
      <w:r>
        <w:t xml:space="preserve">данного на воспитание в семью опекуна (попечителя), прие</w:t>
      </w:r>
      <w:r>
        <w:t xml:space="preserve">м</w:t>
      </w:r>
      <w:r>
        <w:t xml:space="preserve">ную с</w:t>
      </w:r>
      <w:r>
        <w:t xml:space="preserve">е</w:t>
      </w:r>
      <w:r>
        <w:t xml:space="preserve">мью» </w:t>
      </w:r>
      <w:r>
        <w:t xml:space="preserve">в</w:t>
      </w:r>
      <w:r>
        <w:t xml:space="preserve">ыплаты на содержание детей – сирот и детей, оставшихся без попечения родителей, воспитыва</w:t>
      </w:r>
      <w:r>
        <w:t xml:space="preserve">ю</w:t>
      </w:r>
      <w:r>
        <w:t xml:space="preserve">щихся в семье опекуна (попечителя), приемной семье составляют:</w:t>
      </w:r>
      <w:r/>
    </w:p>
    <w:p>
      <w:pPr>
        <w:pStyle w:val="824"/>
        <w:ind w:left="540"/>
        <w:jc w:val="both"/>
      </w:pPr>
      <w:r/>
      <w:r/>
    </w:p>
    <w:p>
      <w:pPr>
        <w:pStyle w:val="824"/>
      </w:pPr>
      <w:r/>
      <w:r/>
    </w:p>
    <w:tbl>
      <w:tblPr>
        <w:tblW w:w="14389" w:type="dxa"/>
        <w:tblInd w:w="108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321"/>
        <w:gridCol w:w="5069"/>
      </w:tblGrid>
      <w:tr>
        <w:trPr/>
        <w:tc>
          <w:tcPr>
            <w:tcW w:w="9321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</w:pPr>
            <w:r>
              <w:t xml:space="preserve">на одного подопечного р</w:t>
            </w:r>
            <w:r>
              <w:t xml:space="preserve">е</w:t>
            </w:r>
            <w:r>
              <w:t xml:space="preserve">бенка в возрасте до 6 лет</w:t>
            </w:r>
            <w:r/>
          </w:p>
        </w:tc>
        <w:tc>
          <w:tcPr>
            <w:tcW w:w="5069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  <w:rPr>
                <w:b/>
              </w:rPr>
            </w:pPr>
            <w:r>
              <w:rPr>
                <w:b/>
              </w:rPr>
              <w:t xml:space="preserve">7425</w:t>
            </w:r>
            <w:r>
              <w:rPr>
                <w:b/>
              </w:rPr>
              <w:t xml:space="preserve"> </w:t>
            </w:r>
            <w:r>
              <w:t xml:space="preserve">рублей</w:t>
            </w:r>
            <w:r>
              <w:rPr>
                <w:b/>
              </w:rPr>
            </w:r>
            <w:r/>
          </w:p>
        </w:tc>
      </w:tr>
      <w:tr>
        <w:trPr/>
        <w:tc>
          <w:tcPr>
            <w:tcW w:w="9321" w:type="dxa"/>
            <w:vAlign w:val="center"/>
            <w:textDirection w:val="lrTb"/>
            <w:noWrap w:val="false"/>
          </w:tcPr>
          <w:p>
            <w:pPr>
              <w:pStyle w:val="824"/>
              <w:ind w:left="360"/>
              <w:jc w:val="center"/>
              <w:spacing w:lineRule="auto" w:line="360"/>
            </w:pPr>
            <w:r>
              <w:t xml:space="preserve">на одного подопечного ребенка от 6 до 18 лет</w:t>
            </w:r>
            <w:r>
              <w:t xml:space="preserve"> </w:t>
            </w:r>
            <w:r/>
          </w:p>
        </w:tc>
        <w:tc>
          <w:tcPr>
            <w:tcW w:w="5069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  <w:rPr>
                <w:b/>
              </w:rPr>
            </w:pPr>
            <w:r>
              <w:rPr>
                <w:b/>
              </w:rPr>
              <w:t xml:space="preserve">8350 </w:t>
            </w:r>
            <w:r/>
            <w:r>
              <w:t xml:space="preserve">рублей</w:t>
            </w:r>
            <w:r>
              <w:rPr>
                <w:b/>
              </w:rPr>
            </w:r>
            <w:r/>
          </w:p>
        </w:tc>
      </w:tr>
      <w:tr>
        <w:trPr/>
        <w:tc>
          <w:tcPr>
            <w:tcW w:w="9321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</w:pPr>
            <w:r>
              <w:t xml:space="preserve">на проезд ребенка в общ</w:t>
            </w:r>
            <w:r>
              <w:t xml:space="preserve">е</w:t>
            </w:r>
            <w:r>
              <w:t xml:space="preserve">ственном транспорте</w:t>
            </w:r>
            <w:r/>
          </w:p>
        </w:tc>
        <w:tc>
          <w:tcPr>
            <w:tcW w:w="5069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  <w:rPr>
                <w:b/>
              </w:rPr>
            </w:pPr>
            <w:r>
              <w:rPr>
                <w:b/>
                <w:lang w:val="ru-RU"/>
              </w:rPr>
              <w:t xml:space="preserve">345</w:t>
            </w:r>
            <w:r>
              <w:rPr>
                <w:b/>
              </w:rPr>
              <w:t xml:space="preserve"> </w:t>
            </w:r>
            <w:r>
              <w:t xml:space="preserve">рублей</w:t>
            </w:r>
            <w:r>
              <w:rPr>
                <w:b/>
              </w:rPr>
            </w:r>
            <w:r/>
          </w:p>
        </w:tc>
      </w:tr>
    </w:tbl>
    <w:p>
      <w:pPr>
        <w:pStyle w:val="824"/>
        <w:ind w:left="540"/>
      </w:pPr>
      <w:r/>
      <w:r/>
    </w:p>
    <w:p>
      <w:pPr>
        <w:pStyle w:val="824"/>
        <w:ind w:left="540"/>
      </w:pPr>
      <w:r/>
      <w:r/>
    </w:p>
    <w:p>
      <w:pPr>
        <w:pStyle w:val="824"/>
        <w:ind w:left="540"/>
      </w:pPr>
      <w:r/>
      <w:r/>
    </w:p>
    <w:p>
      <w:pPr>
        <w:pStyle w:val="824"/>
        <w:ind w:firstLine="708"/>
        <w:jc w:val="both"/>
      </w:pPr>
      <w:r>
        <w:rPr>
          <w:lang w:val="en-US"/>
        </w:rPr>
        <w:t xml:space="preserve">II</w:t>
      </w:r>
      <w:r>
        <w:t xml:space="preserve">.</w:t>
      </w:r>
      <w:r>
        <w:t xml:space="preserve">В соответствии с Законом Брянской области от 07.12.2009 №108</w:t>
      </w:r>
      <w:r>
        <w:t xml:space="preserve"> </w:t>
      </w:r>
      <w:r>
        <w:t xml:space="preserve">– З</w:t>
      </w:r>
      <w:r>
        <w:t xml:space="preserve"> </w:t>
      </w:r>
      <w:r>
        <w:t xml:space="preserve">«О размерах вознаграждения пр</w:t>
      </w:r>
      <w:r>
        <w:t xml:space="preserve">и</w:t>
      </w:r>
      <w:r>
        <w:t xml:space="preserve">емным родителям и мерах социальной поддержки, предоставляемых прие</w:t>
      </w:r>
      <w:r>
        <w:t xml:space="preserve">м</w:t>
      </w:r>
      <w:r>
        <w:t xml:space="preserve">ной семье» </w:t>
      </w:r>
      <w:r>
        <w:t xml:space="preserve">р</w:t>
      </w:r>
      <w:r>
        <w:t xml:space="preserve">азмер вознаграждения приемным родителям, воспитыва</w:t>
      </w:r>
      <w:r>
        <w:t xml:space="preserve">ю</w:t>
      </w:r>
      <w:r>
        <w:t xml:space="preserve">щих  детей – сирот и       детей, оставшихся без попечения родителей  составл</w:t>
      </w:r>
      <w:r>
        <w:t xml:space="preserve">я</w:t>
      </w:r>
      <w:r>
        <w:t xml:space="preserve">ет:</w:t>
      </w:r>
      <w:r/>
    </w:p>
    <w:p>
      <w:pPr>
        <w:pStyle w:val="824"/>
      </w:pPr>
      <w:r/>
      <w:r/>
    </w:p>
    <w:p>
      <w:pPr>
        <w:pStyle w:val="824"/>
      </w:pPr>
      <w:r/>
      <w:r/>
    </w:p>
    <w:tbl>
      <w:tblPr>
        <w:tblW w:w="14247" w:type="dxa"/>
        <w:tblInd w:w="108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8895"/>
        <w:gridCol w:w="5352"/>
      </w:tblGrid>
      <w:tr>
        <w:trPr/>
        <w:tc>
          <w:tcPr>
            <w:tcW w:w="8895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  <w:rPr>
                <w:lang w:val="en-US"/>
              </w:rPr>
            </w:pPr>
            <w:r>
              <w:t xml:space="preserve">за воспитание одного</w:t>
            </w:r>
            <w:r>
              <w:rPr>
                <w:lang w:val="ru-RU"/>
              </w:rPr>
              <w:t xml:space="preserve"> </w:t>
            </w:r>
            <w:r>
              <w:t xml:space="preserve">р</w:t>
            </w:r>
            <w:r>
              <w:t xml:space="preserve">е</w:t>
            </w:r>
            <w:r>
              <w:t xml:space="preserve">бенка</w:t>
            </w:r>
            <w:r/>
          </w:p>
        </w:tc>
        <w:tc>
          <w:tcPr>
            <w:tcW w:w="535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</w:pPr>
            <w:r>
              <w:rPr>
                <w:b/>
              </w:rPr>
              <w:t xml:space="preserve">6377</w:t>
            </w:r>
            <w:r>
              <w:t xml:space="preserve"> рублей</w:t>
            </w:r>
            <w:r/>
          </w:p>
        </w:tc>
      </w:tr>
      <w:tr>
        <w:trPr>
          <w:trHeight w:val="383"/>
        </w:trPr>
        <w:tc>
          <w:tcPr>
            <w:tcW w:w="8895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  <w:rPr>
                <w:lang w:val="en-US"/>
              </w:rPr>
            </w:pPr>
            <w:r>
              <w:t xml:space="preserve">за воспитание каждого  </w:t>
            </w:r>
            <w:r>
              <w:t xml:space="preserve">п</w:t>
            </w:r>
            <w:r>
              <w:t xml:space="preserve">о</w:t>
            </w:r>
            <w:r>
              <w:t xml:space="preserve">следующего  ребенка</w:t>
            </w:r>
            <w:r/>
          </w:p>
        </w:tc>
        <w:tc>
          <w:tcPr>
            <w:tcW w:w="535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  <w:spacing w:lineRule="auto" w:line="360"/>
              <w:rPr>
                <w:b/>
              </w:rPr>
            </w:pPr>
            <w:r>
              <w:rPr>
                <w:b/>
              </w:rPr>
              <w:t xml:space="preserve">4832 </w:t>
            </w:r>
            <w:r>
              <w:t xml:space="preserve">рубля</w:t>
            </w:r>
            <w:r/>
          </w:p>
        </w:tc>
      </w:tr>
    </w:tbl>
    <w:p>
      <w:pPr>
        <w:pStyle w:val="824"/>
      </w:pPr>
      <w:r/>
      <w:r/>
    </w:p>
    <w:p>
      <w:pPr>
        <w:pStyle w:val="824"/>
      </w:pPr>
      <w:r/>
      <w:r/>
    </w:p>
    <w:p>
      <w:pPr>
        <w:pStyle w:val="824"/>
        <w:ind w:firstLine="540"/>
        <w:jc w:val="both"/>
      </w:pPr>
      <w:r>
        <w:rPr>
          <w:lang w:val="en-US"/>
        </w:rPr>
        <w:t xml:space="preserve">III.</w:t>
      </w:r>
      <w:r>
        <w:t xml:space="preserve"> В соответствии с пост</w:t>
      </w:r>
      <w:r>
        <w:t xml:space="preserve">а</w:t>
      </w:r>
      <w:r>
        <w:t xml:space="preserve">новл</w:t>
      </w:r>
      <w:r>
        <w:t xml:space="preserve">е</w:t>
      </w:r>
      <w:r>
        <w:t xml:space="preserve">ниями администрации Бр</w:t>
      </w:r>
      <w:r>
        <w:t xml:space="preserve">янской области от 05.04.2010  № </w:t>
      </w:r>
      <w:r>
        <w:t xml:space="preserve">322 «Об утверждении  Порядка назначения  и выплаты дополнительных единовр</w:t>
      </w:r>
      <w:r>
        <w:t xml:space="preserve">е</w:t>
      </w:r>
      <w:r>
        <w:t xml:space="preserve">менных пособий при устройстве д</w:t>
      </w:r>
      <w:r>
        <w:t xml:space="preserve">е</w:t>
      </w:r>
      <w:r>
        <w:t xml:space="preserve">тей, оставшихся без попечения род</w:t>
      </w:r>
      <w:r>
        <w:t xml:space="preserve">и</w:t>
      </w:r>
      <w:r>
        <w:t xml:space="preserve">телей, на воспитание в семью»  и </w:t>
      </w:r>
      <w:r>
        <w:t xml:space="preserve">от 05.04.2010 № 325  «Об утвержд</w:t>
      </w:r>
      <w:r>
        <w:t xml:space="preserve">е</w:t>
      </w:r>
      <w:r>
        <w:t xml:space="preserve">нии Порядка оказания материальной помощи семьям усыновителей, оп</w:t>
      </w:r>
      <w:r>
        <w:t xml:space="preserve">е</w:t>
      </w:r>
      <w:r>
        <w:t xml:space="preserve">кунов (попечителей), приемным сем</w:t>
      </w:r>
      <w:r>
        <w:t xml:space="preserve">ь</w:t>
      </w:r>
      <w:r>
        <w:t xml:space="preserve">ям, оказавшимся в трудной жизне</w:t>
      </w:r>
      <w:r>
        <w:t xml:space="preserve">н</w:t>
      </w:r>
      <w:r>
        <w:t xml:space="preserve">ной ситуации» осуществляются сл</w:t>
      </w:r>
      <w:r>
        <w:t xml:space="preserve">е</w:t>
      </w:r>
      <w:r>
        <w:t xml:space="preserve">дующие выплаты</w:t>
      </w:r>
      <w:r>
        <w:t xml:space="preserve">:</w:t>
      </w:r>
      <w:r/>
    </w:p>
    <w:p>
      <w:pPr>
        <w:pStyle w:val="824"/>
        <w:ind w:left="900"/>
      </w:pPr>
      <w:r>
        <w:t xml:space="preserve"> </w:t>
      </w:r>
      <w:r/>
    </w:p>
    <w:tbl>
      <w:tblPr>
        <w:tblW w:w="14389" w:type="dxa"/>
        <w:tblInd w:w="108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9037"/>
        <w:gridCol w:w="5352"/>
      </w:tblGrid>
      <w:tr>
        <w:trPr/>
        <w:tc>
          <w:tcPr>
            <w:tcW w:w="9037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t xml:space="preserve">г</w:t>
            </w:r>
            <w:r>
              <w:t xml:space="preserve">ражданам, усынови</w:t>
            </w:r>
            <w:r>
              <w:t xml:space="preserve">в</w:t>
            </w:r>
            <w:r>
              <w:t xml:space="preserve">шим ребенка, оставшег</w:t>
            </w:r>
            <w:r>
              <w:t xml:space="preserve">о</w:t>
            </w:r>
            <w:r>
              <w:t xml:space="preserve">ся без попечения родителей,  назначается единовреме</w:t>
            </w:r>
            <w:r>
              <w:t xml:space="preserve">н</w:t>
            </w:r>
            <w:r>
              <w:t xml:space="preserve">ное пособие</w:t>
            </w:r>
            <w:r/>
          </w:p>
        </w:tc>
        <w:tc>
          <w:tcPr>
            <w:tcW w:w="535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rPr>
                <w:b/>
              </w:rPr>
              <w:t xml:space="preserve">15000</w:t>
            </w:r>
            <w:r>
              <w:t xml:space="preserve"> ру</w:t>
            </w:r>
            <w:r>
              <w:t xml:space="preserve">б</w:t>
            </w:r>
            <w:r>
              <w:t xml:space="preserve">лей</w:t>
            </w:r>
            <w:r/>
          </w:p>
        </w:tc>
      </w:tr>
      <w:tr>
        <w:trPr/>
        <w:tc>
          <w:tcPr>
            <w:tcW w:w="9037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t xml:space="preserve">г</w:t>
            </w:r>
            <w:r>
              <w:t xml:space="preserve">ражданам,  взявшим на воспитание ребенка – инв</w:t>
            </w:r>
            <w:r>
              <w:t xml:space="preserve">а</w:t>
            </w:r>
            <w:r>
              <w:t xml:space="preserve">лида (усыновителям, оп</w:t>
            </w:r>
            <w:r>
              <w:t xml:space="preserve">е</w:t>
            </w:r>
            <w:r>
              <w:t xml:space="preserve">кунам (попечителям), пр</w:t>
            </w:r>
            <w:r>
              <w:t xml:space="preserve">и</w:t>
            </w:r>
            <w:r>
              <w:t xml:space="preserve">емным родителям),  назн</w:t>
            </w:r>
            <w:r>
              <w:t xml:space="preserve">а</w:t>
            </w:r>
            <w:r>
              <w:t xml:space="preserve">чается единовременное </w:t>
            </w:r>
            <w:r>
              <w:t xml:space="preserve">п</w:t>
            </w:r>
            <w:r>
              <w:t xml:space="preserve">о</w:t>
            </w:r>
            <w:r>
              <w:t xml:space="preserve">собие</w:t>
            </w:r>
            <w:r/>
          </w:p>
        </w:tc>
        <w:tc>
          <w:tcPr>
            <w:tcW w:w="535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rPr>
                <w:b/>
              </w:rPr>
              <w:t xml:space="preserve">10000</w:t>
            </w:r>
            <w:r>
              <w:t xml:space="preserve"> ру</w:t>
            </w:r>
            <w:r>
              <w:t xml:space="preserve">б</w:t>
            </w:r>
            <w:r>
              <w:t xml:space="preserve">лей</w:t>
            </w:r>
            <w:r/>
          </w:p>
        </w:tc>
      </w:tr>
      <w:tr>
        <w:trPr/>
        <w:tc>
          <w:tcPr>
            <w:tcW w:w="9037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t xml:space="preserve">п</w:t>
            </w:r>
            <w:r>
              <w:t xml:space="preserve">ри усыновлении ребе</w:t>
            </w:r>
            <w:r>
              <w:t xml:space="preserve">н</w:t>
            </w:r>
            <w:r>
              <w:t xml:space="preserve">ка – инвалида гражданину назначаются два пособия (единовременная выпл</w:t>
            </w:r>
            <w:r>
              <w:t xml:space="preserve">а</w:t>
            </w:r>
            <w:r>
              <w:t xml:space="preserve">та)</w:t>
            </w:r>
            <w:r/>
          </w:p>
        </w:tc>
        <w:tc>
          <w:tcPr>
            <w:tcW w:w="535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rPr>
                <w:b/>
              </w:rPr>
              <w:t xml:space="preserve">15000</w:t>
            </w:r>
            <w:r>
              <w:t xml:space="preserve"> ру</w:t>
            </w:r>
            <w:r>
              <w:t xml:space="preserve">б</w:t>
            </w:r>
            <w:r>
              <w:t xml:space="preserve">лей  </w:t>
            </w:r>
            <w:r>
              <w:rPr>
                <w:b/>
              </w:rPr>
              <w:t xml:space="preserve">и</w:t>
            </w:r>
            <w:r/>
          </w:p>
          <w:p>
            <w:pPr>
              <w:pStyle w:val="824"/>
              <w:jc w:val="center"/>
            </w:pPr>
            <w:r>
              <w:rPr>
                <w:b/>
              </w:rPr>
              <w:t xml:space="preserve">10000</w:t>
            </w:r>
            <w:r>
              <w:t xml:space="preserve"> ру</w:t>
            </w:r>
            <w:r>
              <w:t xml:space="preserve">б</w:t>
            </w:r>
            <w:r>
              <w:t xml:space="preserve">лей</w:t>
            </w:r>
            <w:r/>
          </w:p>
        </w:tc>
      </w:tr>
      <w:tr>
        <w:trPr/>
        <w:tc>
          <w:tcPr>
            <w:tcW w:w="9037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t xml:space="preserve">з</w:t>
            </w:r>
            <w:r>
              <w:t xml:space="preserve">амещающим  семьям, ок</w:t>
            </w:r>
            <w:r>
              <w:t xml:space="preserve">а</w:t>
            </w:r>
            <w:r>
              <w:t xml:space="preserve">завшимся  в трудной жи</w:t>
            </w:r>
            <w:r>
              <w:t xml:space="preserve">з</w:t>
            </w:r>
            <w:r>
              <w:t xml:space="preserve">ненной ситуации, оказыв</w:t>
            </w:r>
            <w:r>
              <w:t xml:space="preserve">а</w:t>
            </w:r>
            <w:r>
              <w:t xml:space="preserve">ется единовременная  </w:t>
            </w:r>
            <w:r/>
          </w:p>
          <w:p>
            <w:pPr>
              <w:pStyle w:val="824"/>
              <w:jc w:val="center"/>
            </w:pPr>
            <w:r>
              <w:t xml:space="preserve">материальная помощь (один раз в год)</w:t>
            </w:r>
            <w:r/>
          </w:p>
        </w:tc>
        <w:tc>
          <w:tcPr>
            <w:tcW w:w="535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rPr>
                <w:b/>
              </w:rPr>
              <w:t xml:space="preserve">12000</w:t>
            </w:r>
            <w:r>
              <w:t xml:space="preserve"> ру</w:t>
            </w:r>
            <w:r>
              <w:t xml:space="preserve">б</w:t>
            </w:r>
            <w:r>
              <w:t xml:space="preserve">лей</w:t>
            </w:r>
            <w:r/>
          </w:p>
        </w:tc>
      </w:tr>
    </w:tbl>
    <w:p>
      <w:pPr>
        <w:pStyle w:val="824"/>
        <w:ind w:left="900"/>
      </w:pPr>
      <w:r/>
      <w:r/>
    </w:p>
    <w:p>
      <w:pPr>
        <w:pStyle w:val="824"/>
        <w:ind w:firstLine="540"/>
        <w:jc w:val="both"/>
      </w:pPr>
      <w:r>
        <w:rPr>
          <w:lang w:val="en-US"/>
        </w:rPr>
        <w:t xml:space="preserve">IV</w:t>
      </w:r>
      <w:r>
        <w:t xml:space="preserve">.    В соответствии с</w:t>
      </w:r>
      <w:r>
        <w:t xml:space="preserve"> </w:t>
      </w:r>
      <w:r>
        <w:t xml:space="preserve">Указом Г</w:t>
      </w:r>
      <w:r>
        <w:t xml:space="preserve">у</w:t>
      </w:r>
      <w:r>
        <w:t xml:space="preserve">бернатора Брянской области</w:t>
      </w:r>
      <w:r>
        <w:t xml:space="preserve"> от </w:t>
      </w:r>
      <w:r>
        <w:t xml:space="preserve">24</w:t>
      </w:r>
      <w:r>
        <w:t xml:space="preserve">.</w:t>
      </w:r>
      <w:r>
        <w:t xml:space="preserve">05</w:t>
      </w:r>
      <w:r>
        <w:t xml:space="preserve">.201</w:t>
      </w:r>
      <w:r>
        <w:t xml:space="preserve">6</w:t>
      </w:r>
      <w:r>
        <w:t xml:space="preserve"> №</w:t>
      </w:r>
      <w:r>
        <w:t xml:space="preserve">180</w:t>
      </w:r>
      <w:r>
        <w:t xml:space="preserve"> « Об утверждении Положения о размерах,  порядке и условиях, предоставления денежных выплат на оплату коммунальных услуг, приобретение строительных м</w:t>
      </w:r>
      <w:r>
        <w:t xml:space="preserve">а</w:t>
      </w:r>
      <w:r>
        <w:t xml:space="preserve">тери</w:t>
      </w:r>
      <w:r>
        <w:t xml:space="preserve">а</w:t>
      </w:r>
      <w:r>
        <w:t xml:space="preserve">лов, для осуществления  ремонта ж</w:t>
      </w:r>
      <w:r>
        <w:t xml:space="preserve">и</w:t>
      </w:r>
      <w:r>
        <w:t xml:space="preserve">лых помещений, закрепленных за детьми сиротами, а также на оформл</w:t>
      </w:r>
      <w:r>
        <w:t xml:space="preserve">е</w:t>
      </w:r>
      <w:r>
        <w:t xml:space="preserve">ние документов по передаче жилых помещений в собственность д</w:t>
      </w:r>
      <w:r>
        <w:t xml:space="preserve">е</w:t>
      </w:r>
      <w:r>
        <w:t xml:space="preserve">тей – сирот» назнач</w:t>
      </w:r>
      <w:r>
        <w:t xml:space="preserve">а</w:t>
      </w:r>
      <w:r>
        <w:t xml:space="preserve">ется: </w:t>
      </w:r>
      <w:r/>
    </w:p>
    <w:p>
      <w:pPr>
        <w:pStyle w:val="824"/>
        <w:ind w:left="360"/>
      </w:pPr>
      <w:r>
        <w:t xml:space="preserve"> </w:t>
      </w:r>
      <w:r/>
    </w:p>
    <w:tbl>
      <w:tblPr>
        <w:tblW w:w="15240" w:type="dxa"/>
        <w:tblInd w:w="0" w:type="dxa"/>
        <w:tblBorders>
          <w:left w:val="single" w:color="000000" w:sz="4" w:space="0"/>
          <w:top w:val="single" w:color="000000" w:sz="4" w:space="0"/>
          <w:right w:val="single" w:color="000000" w:sz="4" w:space="0"/>
          <w:bottom w:val="single" w:color="000000" w:sz="4" w:space="0"/>
          <w:insideV w:val="single" w:color="000000" w:sz="4" w:space="0"/>
          <w:insideH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738"/>
        <w:gridCol w:w="4502"/>
      </w:tblGrid>
      <w:tr>
        <w:trPr/>
        <w:tc>
          <w:tcPr>
            <w:tcW w:w="10738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t xml:space="preserve">выплата на оплату комм</w:t>
            </w:r>
            <w:r>
              <w:t xml:space="preserve">у</w:t>
            </w:r>
            <w:r>
              <w:t xml:space="preserve">нальных у</w:t>
            </w:r>
            <w:r>
              <w:t xml:space="preserve">с</w:t>
            </w:r>
            <w:r>
              <w:t xml:space="preserve">луг</w:t>
            </w:r>
            <w:r>
              <w:t xml:space="preserve"> </w:t>
            </w:r>
            <w:r>
              <w:t xml:space="preserve">(ежемесячно)</w:t>
            </w:r>
            <w:r/>
          </w:p>
        </w:tc>
        <w:tc>
          <w:tcPr>
            <w:tcW w:w="450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rPr>
                <w:b/>
                <w:lang w:val="en-US"/>
              </w:rPr>
              <w:t xml:space="preserve">7</w:t>
            </w:r>
            <w:r>
              <w:rPr>
                <w:b/>
              </w:rPr>
              <w:t xml:space="preserve">00</w:t>
            </w:r>
            <w:r>
              <w:t xml:space="preserve"> рублей</w:t>
            </w:r>
            <w:r/>
          </w:p>
        </w:tc>
      </w:tr>
      <w:tr>
        <w:trPr/>
        <w:tc>
          <w:tcPr>
            <w:tcW w:w="10738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t xml:space="preserve">в</w:t>
            </w:r>
            <w:r>
              <w:t xml:space="preserve">ыплата на приобретение строительных матери</w:t>
            </w:r>
            <w:r>
              <w:t xml:space="preserve">а</w:t>
            </w:r>
            <w:r>
              <w:t xml:space="preserve">лов, для осуществления  ремонта жилых помещений, закре</w:t>
            </w:r>
            <w:r>
              <w:t xml:space="preserve">п</w:t>
            </w:r>
            <w:r>
              <w:t xml:space="preserve">ленных за детьми сиротами</w:t>
            </w:r>
            <w:r>
              <w:t xml:space="preserve"> (1 раз в год)</w:t>
            </w:r>
            <w:r/>
          </w:p>
        </w:tc>
        <w:tc>
          <w:tcPr>
            <w:tcW w:w="450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rPr>
                <w:b/>
              </w:rPr>
              <w:t xml:space="preserve">до</w:t>
            </w:r>
            <w:r>
              <w:t xml:space="preserve"> </w:t>
            </w:r>
            <w:r>
              <w:rPr>
                <w:b/>
                <w:lang w:val="en-US"/>
              </w:rPr>
              <w:t xml:space="preserve">20 </w:t>
            </w:r>
            <w:r>
              <w:rPr>
                <w:b/>
              </w:rPr>
              <w:t xml:space="preserve">000</w:t>
            </w:r>
            <w:r>
              <w:t xml:space="preserve"> рублей</w:t>
            </w:r>
            <w:r/>
          </w:p>
        </w:tc>
      </w:tr>
      <w:tr>
        <w:trPr/>
        <w:tc>
          <w:tcPr>
            <w:tcW w:w="10738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t xml:space="preserve">выплата на оформление д</w:t>
            </w:r>
            <w:r>
              <w:t xml:space="preserve">о</w:t>
            </w:r>
            <w:r>
              <w:t xml:space="preserve">кументов по передаче ж</w:t>
            </w:r>
            <w:r>
              <w:t xml:space="preserve">и</w:t>
            </w:r>
            <w:r>
              <w:t xml:space="preserve">лых помещений в собстве</w:t>
            </w:r>
            <w:r>
              <w:t xml:space="preserve">н</w:t>
            </w:r>
            <w:r>
              <w:t xml:space="preserve">ность детей – сирот</w:t>
            </w:r>
            <w:r>
              <w:t xml:space="preserve">  (однократно)</w:t>
            </w:r>
            <w:r/>
          </w:p>
        </w:tc>
        <w:tc>
          <w:tcPr>
            <w:tcW w:w="4502" w:type="dxa"/>
            <w:vAlign w:val="center"/>
            <w:textDirection w:val="lrTb"/>
            <w:noWrap w:val="false"/>
          </w:tcPr>
          <w:p>
            <w:pPr>
              <w:pStyle w:val="824"/>
              <w:jc w:val="center"/>
            </w:pPr>
            <w:r>
              <w:rPr>
                <w:b/>
              </w:rPr>
              <w:t xml:space="preserve">до</w:t>
            </w:r>
            <w:r>
              <w:t xml:space="preserve"> </w:t>
            </w:r>
            <w:r>
              <w:rPr>
                <w:b/>
              </w:rPr>
              <w:t xml:space="preserve">6000</w:t>
            </w:r>
            <w:r>
              <w:t xml:space="preserve"> рублей</w:t>
            </w:r>
            <w:r/>
          </w:p>
        </w:tc>
      </w:tr>
    </w:tbl>
    <w:p>
      <w:pPr>
        <w:pStyle w:val="824"/>
        <w:ind w:left="360"/>
      </w:pPr>
      <w:r/>
      <w:r/>
    </w:p>
    <w:p>
      <w:pPr>
        <w:pStyle w:val="824"/>
        <w:ind w:firstLine="360"/>
        <w:jc w:val="both"/>
      </w:pPr>
      <w:r>
        <w:rPr>
          <w:lang w:val="en-US"/>
        </w:rPr>
        <w:t xml:space="preserve">V</w:t>
      </w:r>
      <w:r>
        <w:t xml:space="preserve">. Обеспечение предос</w:t>
      </w:r>
      <w:r>
        <w:t xml:space="preserve">тавления жилых помещений детям-</w:t>
      </w:r>
      <w:r>
        <w:t xml:space="preserve">сиротам</w:t>
      </w:r>
      <w:r>
        <w:t xml:space="preserve">, </w:t>
      </w:r>
      <w:r>
        <w:t xml:space="preserve">  детям, оставшимся без попечения р</w:t>
      </w:r>
      <w:r>
        <w:t xml:space="preserve">о</w:t>
      </w:r>
      <w:r>
        <w:t xml:space="preserve">дителей, лицам из числа </w:t>
      </w:r>
      <w:r>
        <w:t xml:space="preserve">детей-сирот,  детей, оставшимся без попечения р</w:t>
      </w:r>
      <w:r>
        <w:t xml:space="preserve">о</w:t>
      </w:r>
      <w:r>
        <w:t xml:space="preserve">дителей </w:t>
      </w:r>
      <w:r>
        <w:t xml:space="preserve">по договорам  найма специ</w:t>
      </w:r>
      <w:r>
        <w:t xml:space="preserve">а</w:t>
      </w:r>
      <w:r>
        <w:t xml:space="preserve">лизированных жилых помещений</w:t>
      </w:r>
      <w:r>
        <w:t xml:space="preserve">.</w:t>
      </w:r>
      <w:r/>
    </w:p>
    <w:p>
      <w:pPr>
        <w:pStyle w:val="824"/>
        <w:ind w:left="360"/>
        <w:jc w:val="both"/>
      </w:pPr>
      <w:r/>
      <w:r/>
    </w:p>
    <w:p>
      <w:pPr>
        <w:pStyle w:val="824"/>
        <w:ind w:firstLine="360"/>
        <w:jc w:val="both"/>
      </w:pPr>
      <w:r>
        <w:t xml:space="preserve">Лицам из числа детей </w:t>
      </w:r>
      <w:r>
        <w:t xml:space="preserve">-</w:t>
      </w:r>
      <w:r>
        <w:t xml:space="preserve"> сирот, д</w:t>
      </w:r>
      <w:r>
        <w:t xml:space="preserve">е</w:t>
      </w:r>
      <w:r>
        <w:t xml:space="preserve">тей оставшихся без попечения род</w:t>
      </w:r>
      <w:r>
        <w:t xml:space="preserve">и</w:t>
      </w:r>
      <w:r>
        <w:t xml:space="preserve">телей, у которых наступило пр</w:t>
      </w:r>
      <w:r>
        <w:t xml:space="preserve">а</w:t>
      </w:r>
      <w:r>
        <w:t xml:space="preserve">во на получение жилья,   предоставляе</w:t>
      </w:r>
      <w:r>
        <w:t xml:space="preserve">т</w:t>
      </w:r>
      <w:r>
        <w:t xml:space="preserve">ся благоустроенное жилое помещ</w:t>
      </w:r>
      <w:r>
        <w:t xml:space="preserve">е</w:t>
      </w:r>
      <w:r>
        <w:t xml:space="preserve">ние по договорам найма  специализир</w:t>
      </w:r>
      <w:r>
        <w:t xml:space="preserve">о</w:t>
      </w:r>
      <w:r>
        <w:t xml:space="preserve">ванных жилых помещений, общей площадью не м</w:t>
      </w:r>
      <w:r>
        <w:t xml:space="preserve">е</w:t>
      </w:r>
      <w:r>
        <w:t xml:space="preserve">нее 33 кв.м.</w:t>
      </w:r>
      <w:r/>
    </w:p>
    <w:sectPr>
      <w:footnotePr/>
      <w:endnotePr/>
      <w:type w:val="nextPage"/>
      <w:pgSz w:w="16838" w:h="11906" w:orient="landscape"/>
      <w:pgMar w:top="1701" w:right="680" w:bottom="851" w:left="680" w:header="709" w:footer="709" w:gutter="0"/>
      <w:cols w:num="1" w:sep="0" w:space="709" w:equalWidth="1">
        <w:col w:w="4720" w:space="826"/>
        <w:col w:w="4574" w:space="720"/>
        <w:col w:w="4636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Verdan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0"/>
      <w:numFmt w:val="bullet"/>
      <w:isLgl w:val="false"/>
      <w:suff w:val="tab"/>
      <w:lvlText w:val="-"/>
      <w:lvlJc w:val="left"/>
      <w:pPr>
        <w:pStyle w:val="824"/>
        <w:ind w:left="555" w:hanging="360"/>
        <w:tabs>
          <w:tab w:val="num" w:pos="555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egacy w:legacy="1" w:legacyIndent="0" w:legacySpace="0"/>
      <w:lvlJc w:val="left"/>
      <w:pPr>
        <w:pStyle w:val="824"/>
      </w:pPr>
      <w:rPr>
        <w:rFonts w:ascii="Times New Roman" w:hAnsi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pStyle w:val="824"/>
        <w:ind w:left="720" w:hanging="360"/>
        <w:tabs>
          <w:tab w:val="num" w:pos="720" w:leader="none"/>
        </w:tabs>
      </w:pPr>
      <w:rPr>
        <w:rFonts w:ascii="Times New Roman" w:hAnsi="Times New Roman"/>
      </w:rPr>
    </w:lvl>
    <w:lvl w:ilvl="1">
      <w:start w:val="1"/>
      <w:numFmt w:val="bullet"/>
      <w:isLgl w:val="false"/>
      <w:suff w:val="tab"/>
      <w:lvlText w:val="•"/>
      <w:lvlJc w:val="left"/>
      <w:pPr>
        <w:pStyle w:val="824"/>
        <w:ind w:left="1440" w:hanging="360"/>
        <w:tabs>
          <w:tab w:val="num" w:pos="1440" w:leader="none"/>
        </w:tabs>
      </w:pPr>
      <w:rPr>
        <w:rFonts w:ascii="Times New Roman" w:hAnsi="Times New Roman"/>
      </w:rPr>
    </w:lvl>
    <w:lvl w:ilvl="2">
      <w:start w:val="1"/>
      <w:numFmt w:val="bullet"/>
      <w:isLgl w:val="false"/>
      <w:suff w:val="tab"/>
      <w:lvlText w:val="•"/>
      <w:lvlJc w:val="left"/>
      <w:pPr>
        <w:pStyle w:val="824"/>
        <w:ind w:left="2160" w:hanging="360"/>
        <w:tabs>
          <w:tab w:val="num" w:pos="2160" w:leader="none"/>
        </w:tabs>
      </w:pPr>
      <w:rPr>
        <w:rFonts w:ascii="Times New Roman" w:hAnsi="Times New Roman"/>
      </w:rPr>
    </w:lvl>
    <w:lvl w:ilvl="3">
      <w:start w:val="1"/>
      <w:numFmt w:val="bullet"/>
      <w:isLgl w:val="false"/>
      <w:suff w:val="tab"/>
      <w:lvlText w:val="•"/>
      <w:lvlJc w:val="left"/>
      <w:pPr>
        <w:pStyle w:val="824"/>
        <w:ind w:left="2880" w:hanging="360"/>
        <w:tabs>
          <w:tab w:val="num" w:pos="2880" w:leader="none"/>
        </w:tabs>
      </w:pPr>
      <w:rPr>
        <w:rFonts w:ascii="Times New Roman" w:hAnsi="Times New Roman"/>
      </w:rPr>
    </w:lvl>
    <w:lvl w:ilvl="4">
      <w:start w:val="1"/>
      <w:numFmt w:val="bullet"/>
      <w:isLgl w:val="false"/>
      <w:suff w:val="tab"/>
      <w:lvlText w:val="•"/>
      <w:lvlJc w:val="left"/>
      <w:pPr>
        <w:pStyle w:val="824"/>
        <w:ind w:left="3600" w:hanging="360"/>
        <w:tabs>
          <w:tab w:val="num" w:pos="3600" w:leader="none"/>
        </w:tabs>
      </w:pPr>
      <w:rPr>
        <w:rFonts w:ascii="Times New Roman" w:hAnsi="Times New Roman"/>
      </w:rPr>
    </w:lvl>
    <w:lvl w:ilvl="5">
      <w:start w:val="1"/>
      <w:numFmt w:val="bullet"/>
      <w:isLgl w:val="false"/>
      <w:suff w:val="tab"/>
      <w:lvlText w:val="•"/>
      <w:lvlJc w:val="left"/>
      <w:pPr>
        <w:pStyle w:val="824"/>
        <w:ind w:left="4320" w:hanging="360"/>
        <w:tabs>
          <w:tab w:val="num" w:pos="4320" w:leader="none"/>
        </w:tabs>
      </w:pPr>
      <w:rPr>
        <w:rFonts w:ascii="Times New Roman" w:hAnsi="Times New Roman"/>
      </w:rPr>
    </w:lvl>
    <w:lvl w:ilvl="6">
      <w:start w:val="1"/>
      <w:numFmt w:val="bullet"/>
      <w:isLgl w:val="false"/>
      <w:suff w:val="tab"/>
      <w:lvlText w:val="•"/>
      <w:lvlJc w:val="left"/>
      <w:pPr>
        <w:pStyle w:val="824"/>
        <w:ind w:left="5040" w:hanging="360"/>
        <w:tabs>
          <w:tab w:val="num" w:pos="5040" w:leader="none"/>
        </w:tabs>
      </w:pPr>
      <w:rPr>
        <w:rFonts w:ascii="Times New Roman" w:hAnsi="Times New Roman"/>
      </w:rPr>
    </w:lvl>
    <w:lvl w:ilvl="7">
      <w:start w:val="1"/>
      <w:numFmt w:val="bullet"/>
      <w:isLgl w:val="false"/>
      <w:suff w:val="tab"/>
      <w:lvlText w:val="•"/>
      <w:lvlJc w:val="left"/>
      <w:pPr>
        <w:pStyle w:val="824"/>
        <w:ind w:left="5760" w:hanging="360"/>
        <w:tabs>
          <w:tab w:val="num" w:pos="5760" w:leader="none"/>
        </w:tabs>
      </w:pPr>
      <w:rPr>
        <w:rFonts w:ascii="Times New Roman" w:hAnsi="Times New Roman"/>
      </w:rPr>
    </w:lvl>
    <w:lvl w:ilvl="8">
      <w:start w:val="1"/>
      <w:numFmt w:val="bullet"/>
      <w:isLgl w:val="false"/>
      <w:suff w:val="tab"/>
      <w:lvlText w:val="•"/>
      <w:lvlJc w:val="left"/>
      <w:pPr>
        <w:pStyle w:val="824"/>
        <w:ind w:left="6480" w:hanging="360"/>
        <w:tabs>
          <w:tab w:val="num" w:pos="6480" w:leader="none"/>
        </w:tabs>
      </w:pPr>
      <w:rPr>
        <w:rFonts w:ascii="Times New Roman" w:hAnsi="Times New Roman"/>
      </w:rPr>
    </w:lvl>
  </w:abstractNum>
  <w:abstractNum w:abstractNumId="3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pStyle w:val="824"/>
        <w:ind w:left="1260" w:hanging="720"/>
        <w:tabs>
          <w:tab w:val="num" w:pos="126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824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24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24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24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24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24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24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24"/>
        <w:ind w:left="6480" w:hanging="180"/>
        <w:tabs>
          <w:tab w:val="num" w:pos="6480" w:leader="none"/>
        </w:tabs>
      </w:p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pStyle w:val="824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824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24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24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24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24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24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24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24"/>
        <w:ind w:left="6480" w:hanging="18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824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824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824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824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824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824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824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824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824"/>
        <w:ind w:left="6480" w:hanging="180"/>
        <w:tabs>
          <w:tab w:val="num" w:pos="6480" w:leader="none"/>
        </w:tabs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6">
    <w:name w:val="Heading 1"/>
    <w:link w:val="64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47">
    <w:name w:val="Heading 1 Char"/>
    <w:link w:val="646"/>
    <w:uiPriority w:val="9"/>
    <w:rPr>
      <w:rFonts w:ascii="Arial" w:hAnsi="Arial" w:cs="Arial" w:eastAsia="Arial"/>
      <w:sz w:val="40"/>
      <w:szCs w:val="40"/>
    </w:rPr>
  </w:style>
  <w:style w:type="paragraph" w:styleId="648">
    <w:name w:val="Heading 2"/>
    <w:link w:val="64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49">
    <w:name w:val="Heading 2 Char"/>
    <w:link w:val="648"/>
    <w:uiPriority w:val="9"/>
    <w:rPr>
      <w:rFonts w:ascii="Arial" w:hAnsi="Arial" w:cs="Arial" w:eastAsia="Arial"/>
      <w:sz w:val="34"/>
    </w:rPr>
  </w:style>
  <w:style w:type="paragraph" w:styleId="650">
    <w:name w:val="Heading 3"/>
    <w:link w:val="65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51">
    <w:name w:val="Heading 3 Char"/>
    <w:link w:val="650"/>
    <w:uiPriority w:val="9"/>
    <w:rPr>
      <w:rFonts w:ascii="Arial" w:hAnsi="Arial" w:cs="Arial" w:eastAsia="Arial"/>
      <w:sz w:val="30"/>
      <w:szCs w:val="30"/>
    </w:rPr>
  </w:style>
  <w:style w:type="paragraph" w:styleId="652">
    <w:name w:val="Heading 4"/>
    <w:link w:val="65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53">
    <w:name w:val="Heading 4 Char"/>
    <w:link w:val="652"/>
    <w:uiPriority w:val="9"/>
    <w:rPr>
      <w:rFonts w:ascii="Arial" w:hAnsi="Arial" w:cs="Arial" w:eastAsia="Arial"/>
      <w:b/>
      <w:bCs/>
      <w:sz w:val="26"/>
      <w:szCs w:val="26"/>
    </w:rPr>
  </w:style>
  <w:style w:type="paragraph" w:styleId="654">
    <w:name w:val="Heading 5"/>
    <w:link w:val="65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55">
    <w:name w:val="Heading 5 Char"/>
    <w:link w:val="654"/>
    <w:uiPriority w:val="9"/>
    <w:rPr>
      <w:rFonts w:ascii="Arial" w:hAnsi="Arial" w:cs="Arial" w:eastAsia="Arial"/>
      <w:b/>
      <w:bCs/>
      <w:sz w:val="24"/>
      <w:szCs w:val="24"/>
    </w:rPr>
  </w:style>
  <w:style w:type="paragraph" w:styleId="656">
    <w:name w:val="Heading 6"/>
    <w:link w:val="65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57">
    <w:name w:val="Heading 6 Char"/>
    <w:link w:val="656"/>
    <w:uiPriority w:val="9"/>
    <w:rPr>
      <w:rFonts w:ascii="Arial" w:hAnsi="Arial" w:cs="Arial" w:eastAsia="Arial"/>
      <w:b/>
      <w:bCs/>
      <w:sz w:val="22"/>
      <w:szCs w:val="22"/>
    </w:rPr>
  </w:style>
  <w:style w:type="paragraph" w:styleId="658">
    <w:name w:val="Heading 7"/>
    <w:link w:val="65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59">
    <w:name w:val="Heading 7 Char"/>
    <w:link w:val="65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60">
    <w:name w:val="Heading 8"/>
    <w:link w:val="66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61">
    <w:name w:val="Heading 8 Char"/>
    <w:link w:val="660"/>
    <w:uiPriority w:val="9"/>
    <w:rPr>
      <w:rFonts w:ascii="Arial" w:hAnsi="Arial" w:cs="Arial" w:eastAsia="Arial"/>
      <w:i/>
      <w:iCs/>
      <w:sz w:val="22"/>
      <w:szCs w:val="22"/>
    </w:rPr>
  </w:style>
  <w:style w:type="paragraph" w:styleId="662">
    <w:name w:val="Heading 9"/>
    <w:link w:val="66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63">
    <w:name w:val="Heading 9 Char"/>
    <w:link w:val="662"/>
    <w:uiPriority w:val="9"/>
    <w:rPr>
      <w:rFonts w:ascii="Arial" w:hAnsi="Arial" w:cs="Arial" w:eastAsia="Arial"/>
      <w:i/>
      <w:iCs/>
      <w:sz w:val="21"/>
      <w:szCs w:val="21"/>
    </w:rPr>
  </w:style>
  <w:style w:type="paragraph" w:styleId="664">
    <w:name w:val="List Paragraph"/>
    <w:qFormat/>
    <w:uiPriority w:val="34"/>
    <w:pPr>
      <w:contextualSpacing w:val="true"/>
      <w:ind w:left="720"/>
    </w:pPr>
  </w:style>
  <w:style w:type="paragraph" w:styleId="665">
    <w:name w:val="No Spacing"/>
    <w:qFormat/>
    <w:uiPriority w:val="1"/>
    <w:pPr>
      <w:spacing w:lineRule="auto" w:line="240" w:after="0" w:before="0"/>
    </w:pPr>
  </w:style>
  <w:style w:type="paragraph" w:styleId="666">
    <w:name w:val="Title"/>
    <w:link w:val="66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67">
    <w:name w:val="Title Char"/>
    <w:link w:val="666"/>
    <w:uiPriority w:val="10"/>
    <w:rPr>
      <w:sz w:val="48"/>
      <w:szCs w:val="48"/>
    </w:rPr>
  </w:style>
  <w:style w:type="paragraph" w:styleId="668">
    <w:name w:val="Subtitle"/>
    <w:link w:val="669"/>
    <w:qFormat/>
    <w:uiPriority w:val="11"/>
    <w:rPr>
      <w:sz w:val="24"/>
      <w:szCs w:val="24"/>
    </w:rPr>
    <w:pPr>
      <w:spacing w:after="200" w:before="200"/>
    </w:pPr>
  </w:style>
  <w:style w:type="character" w:styleId="669">
    <w:name w:val="Subtitle Char"/>
    <w:link w:val="668"/>
    <w:uiPriority w:val="11"/>
    <w:rPr>
      <w:sz w:val="24"/>
      <w:szCs w:val="24"/>
    </w:rPr>
  </w:style>
  <w:style w:type="paragraph" w:styleId="670">
    <w:name w:val="Quote"/>
    <w:link w:val="671"/>
    <w:qFormat/>
    <w:uiPriority w:val="29"/>
    <w:rPr>
      <w:i/>
    </w:rPr>
    <w:pPr>
      <w:ind w:left="720" w:right="720"/>
    </w:pPr>
  </w:style>
  <w:style w:type="character" w:styleId="671">
    <w:name w:val="Quote Char"/>
    <w:link w:val="670"/>
    <w:uiPriority w:val="29"/>
    <w:rPr>
      <w:i/>
    </w:rPr>
  </w:style>
  <w:style w:type="paragraph" w:styleId="672">
    <w:name w:val="Intense Quote"/>
    <w:link w:val="673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73">
    <w:name w:val="Intense Quote Char"/>
    <w:link w:val="672"/>
    <w:uiPriority w:val="30"/>
    <w:rPr>
      <w:i/>
    </w:rPr>
  </w:style>
  <w:style w:type="paragraph" w:styleId="674">
    <w:name w:val="Header"/>
    <w:link w:val="67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75">
    <w:name w:val="Header Char"/>
    <w:link w:val="674"/>
    <w:uiPriority w:val="99"/>
  </w:style>
  <w:style w:type="paragraph" w:styleId="676">
    <w:name w:val="Footer"/>
    <w:link w:val="67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77">
    <w:name w:val="Footer Char"/>
    <w:link w:val="676"/>
    <w:uiPriority w:val="99"/>
  </w:style>
  <w:style w:type="paragraph" w:styleId="678">
    <w:name w:val="Caption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79">
    <w:name w:val="Caption Char"/>
    <w:basedOn w:val="678"/>
    <w:link w:val="676"/>
    <w:uiPriority w:val="99"/>
  </w:style>
  <w:style w:type="table" w:styleId="680">
    <w:name w:val="Table Grid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1">
    <w:name w:val="Table Grid Light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Plain Table 1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3">
    <w:name w:val="Plain Table 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5">
    <w:name w:val="Plain Table 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Plain Table 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87">
    <w:name w:val="Grid Table 1 Light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2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2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2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2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2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00">
    <w:name w:val="Grid Table 2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01">
    <w:name w:val="Grid Table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2">
    <w:name w:val="Grid Table 3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3">
    <w:name w:val="Grid Table 3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3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3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3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7">
    <w:name w:val="Grid Table 3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8">
    <w:name w:val="Grid Table 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09">
    <w:name w:val="Grid Table 4 - Accent 1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10">
    <w:name w:val="Grid Table 4 - Accent 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11">
    <w:name w:val="Grid Table 4 - Accent 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12">
    <w:name w:val="Grid Table 4 - Accent 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13">
    <w:name w:val="Grid Table 4 - Accent 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14">
    <w:name w:val="Grid Table 4 - Accent 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15">
    <w:name w:val="Grid Table 5 Dark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716">
    <w:name w:val="Grid Table 5 Dark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717">
    <w:name w:val="Grid Table 5 Dark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718">
    <w:name w:val="Grid Table 5 Dark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719">
    <w:name w:val="Grid Table 5 Dark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720">
    <w:name w:val="Grid Table 5 Dark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721">
    <w:name w:val="Grid Table 5 Dark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722">
    <w:name w:val="Grid Table 6 Colorful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3">
    <w:name w:val="Grid Table 6 Colorful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4">
    <w:name w:val="Grid Table 6 Colorful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5">
    <w:name w:val="Grid Table 6 Colorful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6">
    <w:name w:val="Grid Table 6 Colorful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7">
    <w:name w:val="Grid Table 6 Colorful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8">
    <w:name w:val="Grid Table 6 Colorful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7 Colorful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Grid Table 7 Colorful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7 Colorful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7 Colorful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7 Colorful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Grid Table 7 Colorful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Grid Table 7 Colorful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List Table 1 Light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List Table 1 Light - Accent 1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List Table 1 Light - Accent 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List Table 1 Light - Accent 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List Table 1 Light - Accent 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List Table 1 Light - Accent 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42">
    <w:name w:val="List Table 1 Light - Accent 6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43">
    <w:name w:val="List Table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44">
    <w:name w:val="List Table 2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45">
    <w:name w:val="List Table 2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46">
    <w:name w:val="List Table 2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47">
    <w:name w:val="List Table 2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48">
    <w:name w:val="List Table 2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49">
    <w:name w:val="List Table 2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50">
    <w:name w:val="List Table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5 Dark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6 Colorful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72">
    <w:name w:val="List Table 6 Colorful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73">
    <w:name w:val="List Table 6 Colorful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74">
    <w:name w:val="List Table 6 Colorful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75">
    <w:name w:val="List Table 6 Colorful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76">
    <w:name w:val="List Table 6 Colorful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77">
    <w:name w:val="List Table 6 Colorful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78">
    <w:name w:val="List Table 7 Colorful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9">
    <w:name w:val="List Table 7 Colorful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0">
    <w:name w:val="List Table 7 Colorful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1">
    <w:name w:val="List Table 7 Colorful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2">
    <w:name w:val="List Table 7 Colorful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3">
    <w:name w:val="List Table 7 Colorful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4">
    <w:name w:val="List Table 7 Colorful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5">
    <w:name w:val="Lined - Accent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86">
    <w:name w:val="Lined - Accent 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87">
    <w:name w:val="Lined - Accent 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88">
    <w:name w:val="Lined - Accent 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89">
    <w:name w:val="Lined - Accent 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90">
    <w:name w:val="Lined - Accent 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91">
    <w:name w:val="Lined - Accent 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92">
    <w:name w:val="Bordered &amp; Lined - Accent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93">
    <w:name w:val="Bordered &amp; Lined - Accent 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94">
    <w:name w:val="Bordered &amp; Lined - Accent 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95">
    <w:name w:val="Bordered &amp; Lined - Accent 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96">
    <w:name w:val="Bordered &amp; Lined - Accent 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97">
    <w:name w:val="Bordered &amp; Lined - Accent 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98">
    <w:name w:val="Bordered &amp; Lined - Accent 6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99">
    <w:name w:val="Bordered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00">
    <w:name w:val="Bordered - Accent 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01">
    <w:name w:val="Bordered - Accent 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02">
    <w:name w:val="Bordered - Accent 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03">
    <w:name w:val="Bordered - Accent 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04">
    <w:name w:val="Bordered - Accent 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05">
    <w:name w:val="Bordered - Accent 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06">
    <w:name w:val="Hyperlink"/>
    <w:uiPriority w:val="99"/>
    <w:unhideWhenUsed/>
    <w:rPr>
      <w:color w:val="0000FF" w:themeColor="hyperlink"/>
      <w:u w:val="single"/>
    </w:rPr>
  </w:style>
  <w:style w:type="paragraph" w:styleId="807">
    <w:name w:val="footnote text"/>
    <w:link w:val="808"/>
    <w:uiPriority w:val="99"/>
    <w:semiHidden/>
    <w:unhideWhenUsed/>
    <w:rPr>
      <w:sz w:val="18"/>
    </w:rPr>
    <w:pPr>
      <w:spacing w:lineRule="auto" w:line="240" w:after="40"/>
    </w:pPr>
  </w:style>
  <w:style w:type="character" w:styleId="808">
    <w:name w:val="Footnote Text Char"/>
    <w:link w:val="807"/>
    <w:uiPriority w:val="99"/>
    <w:rPr>
      <w:sz w:val="18"/>
    </w:rPr>
  </w:style>
  <w:style w:type="character" w:styleId="809">
    <w:name w:val="footnote reference"/>
    <w:uiPriority w:val="99"/>
    <w:unhideWhenUsed/>
    <w:rPr>
      <w:vertAlign w:val="superscript"/>
    </w:rPr>
  </w:style>
  <w:style w:type="paragraph" w:styleId="810">
    <w:name w:val="endnote text"/>
    <w:link w:val="811"/>
    <w:uiPriority w:val="99"/>
    <w:semiHidden/>
    <w:unhideWhenUsed/>
    <w:rPr>
      <w:sz w:val="20"/>
    </w:rPr>
    <w:pPr>
      <w:spacing w:lineRule="auto" w:line="240" w:after="0"/>
    </w:pPr>
  </w:style>
  <w:style w:type="character" w:styleId="811">
    <w:name w:val="Endnote Text Char"/>
    <w:link w:val="810"/>
    <w:uiPriority w:val="99"/>
    <w:rPr>
      <w:sz w:val="20"/>
    </w:rPr>
  </w:style>
  <w:style w:type="character" w:styleId="812">
    <w:name w:val="endnote reference"/>
    <w:uiPriority w:val="99"/>
    <w:semiHidden/>
    <w:unhideWhenUsed/>
    <w:rPr>
      <w:vertAlign w:val="superscript"/>
    </w:rPr>
  </w:style>
  <w:style w:type="paragraph" w:styleId="813">
    <w:name w:val="toc 1"/>
    <w:uiPriority w:val="39"/>
    <w:unhideWhenUsed/>
    <w:pPr>
      <w:ind w:left="0" w:right="0" w:firstLine="0"/>
      <w:spacing w:after="57"/>
    </w:pPr>
  </w:style>
  <w:style w:type="paragraph" w:styleId="814">
    <w:name w:val="toc 2"/>
    <w:uiPriority w:val="39"/>
    <w:unhideWhenUsed/>
    <w:pPr>
      <w:ind w:left="283" w:right="0" w:firstLine="0"/>
      <w:spacing w:after="57"/>
    </w:pPr>
  </w:style>
  <w:style w:type="paragraph" w:styleId="815">
    <w:name w:val="toc 3"/>
    <w:uiPriority w:val="39"/>
    <w:unhideWhenUsed/>
    <w:pPr>
      <w:ind w:left="567" w:right="0" w:firstLine="0"/>
      <w:spacing w:after="57"/>
    </w:pPr>
  </w:style>
  <w:style w:type="paragraph" w:styleId="816">
    <w:name w:val="toc 4"/>
    <w:uiPriority w:val="39"/>
    <w:unhideWhenUsed/>
    <w:pPr>
      <w:ind w:left="850" w:right="0" w:firstLine="0"/>
      <w:spacing w:after="57"/>
    </w:pPr>
  </w:style>
  <w:style w:type="paragraph" w:styleId="817">
    <w:name w:val="toc 5"/>
    <w:uiPriority w:val="39"/>
    <w:unhideWhenUsed/>
    <w:pPr>
      <w:ind w:left="1134" w:right="0" w:firstLine="0"/>
      <w:spacing w:after="57"/>
    </w:pPr>
  </w:style>
  <w:style w:type="paragraph" w:styleId="818">
    <w:name w:val="toc 6"/>
    <w:uiPriority w:val="39"/>
    <w:unhideWhenUsed/>
    <w:pPr>
      <w:ind w:left="1417" w:right="0" w:firstLine="0"/>
      <w:spacing w:after="57"/>
    </w:pPr>
  </w:style>
  <w:style w:type="paragraph" w:styleId="819">
    <w:name w:val="toc 7"/>
    <w:uiPriority w:val="39"/>
    <w:unhideWhenUsed/>
    <w:pPr>
      <w:ind w:left="1701" w:right="0" w:firstLine="0"/>
      <w:spacing w:after="57"/>
    </w:pPr>
  </w:style>
  <w:style w:type="paragraph" w:styleId="820">
    <w:name w:val="toc 8"/>
    <w:uiPriority w:val="39"/>
    <w:unhideWhenUsed/>
    <w:pPr>
      <w:ind w:left="1984" w:right="0" w:firstLine="0"/>
      <w:spacing w:after="57"/>
    </w:pPr>
  </w:style>
  <w:style w:type="paragraph" w:styleId="821">
    <w:name w:val="toc 9"/>
    <w:uiPriority w:val="39"/>
    <w:unhideWhenUsed/>
    <w:pPr>
      <w:ind w:left="2268" w:right="0" w:firstLine="0"/>
      <w:spacing w:after="57"/>
    </w:pPr>
  </w:style>
  <w:style w:type="paragraph" w:styleId="822">
    <w:name w:val="TOC Heading"/>
    <w:uiPriority w:val="39"/>
    <w:unhideWhenUsed/>
  </w:style>
  <w:style w:type="paragraph" w:styleId="823">
    <w:name w:val="table of figures"/>
    <w:uiPriority w:val="99"/>
    <w:unhideWhenUsed/>
    <w:pPr>
      <w:spacing w:after="0" w:afterAutospacing="0"/>
    </w:pPr>
  </w:style>
  <w:style w:type="paragraph" w:styleId="824">
    <w:name w:val="Обычный"/>
    <w:next w:val="824"/>
    <w:link w:val="824"/>
    <w:rPr>
      <w:sz w:val="28"/>
      <w:lang w:val="ru-RU" w:bidi="ar-SA" w:eastAsia="ru-RU"/>
    </w:rPr>
  </w:style>
  <w:style w:type="paragraph" w:styleId="825">
    <w:name w:val="Заголовок 1"/>
    <w:basedOn w:val="824"/>
    <w:next w:val="824"/>
    <w:link w:val="824"/>
    <w:rPr>
      <w:b/>
    </w:rPr>
    <w:pPr>
      <w:ind w:firstLine="485"/>
      <w:jc w:val="both"/>
      <w:keepNext/>
      <w:outlineLvl w:val="0"/>
    </w:pPr>
  </w:style>
  <w:style w:type="character" w:styleId="826">
    <w:name w:val="Основной шрифт абзаца"/>
    <w:next w:val="826"/>
    <w:link w:val="824"/>
    <w:semiHidden/>
  </w:style>
  <w:style w:type="table" w:styleId="827">
    <w:name w:val="Обычная таблица"/>
    <w:next w:val="827"/>
    <w:link w:val="824"/>
    <w:semiHidden/>
    <w:tblPr/>
  </w:style>
  <w:style w:type="numbering" w:styleId="828">
    <w:name w:val="Нет списка"/>
    <w:next w:val="828"/>
    <w:link w:val="824"/>
    <w:semiHidden/>
  </w:style>
  <w:style w:type="paragraph" w:styleId="829">
    <w:name w:val="Основной текст с отступом"/>
    <w:basedOn w:val="824"/>
    <w:next w:val="829"/>
    <w:link w:val="824"/>
    <w:rPr>
      <w:rFonts w:ascii="Arial" w:hAnsi="Arial"/>
      <w:color w:val="000000"/>
      <w:sz w:val="22"/>
      <w:szCs w:val="22"/>
    </w:rPr>
    <w:pPr>
      <w:ind w:firstLine="485"/>
      <w:jc w:val="both"/>
    </w:pPr>
  </w:style>
  <w:style w:type="paragraph" w:styleId="830">
    <w:name w:val="Основной текст 3"/>
    <w:basedOn w:val="824"/>
    <w:next w:val="830"/>
    <w:link w:val="824"/>
    <w:rPr>
      <w:sz w:val="16"/>
      <w:szCs w:val="16"/>
    </w:rPr>
    <w:pPr>
      <w:spacing w:after="120"/>
    </w:pPr>
  </w:style>
  <w:style w:type="paragraph" w:styleId="831">
    <w:name w:val="Основной текст с отступом 2"/>
    <w:basedOn w:val="824"/>
    <w:next w:val="831"/>
    <w:link w:val="824"/>
    <w:pPr>
      <w:ind w:left="283"/>
      <w:spacing w:lineRule="auto" w:line="480" w:after="120"/>
    </w:pPr>
  </w:style>
  <w:style w:type="paragraph" w:styleId="832">
    <w:name w:val="Основной текст 2"/>
    <w:basedOn w:val="824"/>
    <w:next w:val="832"/>
    <w:link w:val="824"/>
    <w:pPr>
      <w:spacing w:lineRule="auto" w:line="480" w:after="120"/>
    </w:pPr>
  </w:style>
  <w:style w:type="paragraph" w:styleId="833">
    <w:name w:val="Знак Знак Знак"/>
    <w:basedOn w:val="824"/>
    <w:next w:val="833"/>
    <w:link w:val="824"/>
    <w:rPr>
      <w:rFonts w:ascii="Verdana" w:hAnsi="Verdana"/>
      <w:sz w:val="20"/>
      <w:lang w:val="en-US" w:eastAsia="en-US"/>
    </w:rPr>
    <w:pPr>
      <w:spacing w:lineRule="exact" w:line="240" w:after="160"/>
    </w:pPr>
  </w:style>
  <w:style w:type="table" w:styleId="834">
    <w:name w:val="Сетка таблицы"/>
    <w:basedOn w:val="827"/>
    <w:next w:val="834"/>
    <w:link w:val="824"/>
    <w:tblPr/>
  </w:style>
  <w:style w:type="character" w:styleId="835" w:default="1">
    <w:name w:val="Default Paragraph Font"/>
    <w:uiPriority w:val="1"/>
    <w:semiHidden/>
    <w:unhideWhenUsed/>
  </w:style>
  <w:style w:type="numbering" w:styleId="836" w:default="1">
    <w:name w:val="No List"/>
    <w:uiPriority w:val="99"/>
    <w:semiHidden/>
    <w:unhideWhenUsed/>
  </w:style>
  <w:style w:type="paragraph" w:styleId="837" w:default="1">
    <w:name w:val="Normal"/>
    <w:qFormat/>
  </w:style>
  <w:style w:type="table" w:styleId="83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ONLYOFFICE/6.4.2.6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2022-04-20T11:50:21Z</dcterms:modified>
</cp:coreProperties>
</file>