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76" w:lineRule="auto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Проект</w:t>
      </w:r>
      <w:r/>
    </w:p>
    <w:p>
      <w:pPr>
        <w:jc w:val="center"/>
        <w:spacing w:line="276" w:lineRule="auto"/>
        <w:rPr>
          <w:rFonts w:eastAsia="Calibri"/>
          <w:b/>
          <w:sz w:val="28"/>
          <w:szCs w:val="28"/>
          <w:lang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Calibri"/>
          <w:b/>
          <w:sz w:val="28"/>
          <w:szCs w:val="28"/>
          <w:lang w:bidi="ar-SA"/>
        </w:rPr>
      </w:r>
      <w:r/>
    </w:p>
    <w:p>
      <w:pPr>
        <w:jc w:val="center"/>
        <w:spacing w:line="276" w:lineRule="auto"/>
        <w:rPr>
          <w:rFonts w:eastAsia="Calibri"/>
          <w:b/>
          <w:sz w:val="28"/>
          <w:szCs w:val="28"/>
          <w:lang w:bidi="ar-SA"/>
        </w:rPr>
      </w:pPr>
      <w:r>
        <w:rPr>
          <w:rFonts w:eastAsia="Calibri"/>
          <w:b/>
          <w:sz w:val="28"/>
          <w:szCs w:val="28"/>
          <w:lang w:bidi="ar-SA"/>
        </w:rPr>
        <w:t xml:space="preserve">ЗАКОН</w:t>
      </w:r>
      <w:r/>
    </w:p>
    <w:p>
      <w:pPr>
        <w:jc w:val="center"/>
        <w:spacing w:line="276" w:lineRule="auto"/>
        <w:rPr>
          <w:rFonts w:eastAsia="Calibri"/>
          <w:b/>
          <w:sz w:val="28"/>
          <w:szCs w:val="28"/>
          <w:lang w:bidi="ar-SA"/>
        </w:rPr>
      </w:pPr>
      <w:r>
        <w:rPr>
          <w:rFonts w:eastAsia="Calibri"/>
          <w:b/>
          <w:sz w:val="28"/>
          <w:szCs w:val="28"/>
          <w:lang w:bidi="ar-SA"/>
        </w:rPr>
        <w:t xml:space="preserve">БРЯНСКОЙ ОБЛАСТИ</w:t>
      </w:r>
      <w:r/>
    </w:p>
    <w:p>
      <w:pPr>
        <w:jc w:val="left"/>
        <w:spacing w:line="276" w:lineRule="auto"/>
        <w:rPr>
          <w:rFonts w:eastAsia="Calibri"/>
          <w:b/>
          <w:sz w:val="28"/>
          <w:szCs w:val="28"/>
          <w:lang w:bidi="ar-SA"/>
        </w:rPr>
      </w:pPr>
      <w:r>
        <w:rPr>
          <w:rFonts w:eastAsia="Calibri"/>
          <w:b/>
          <w:sz w:val="28"/>
          <w:szCs w:val="28"/>
          <w:lang w:bidi="ar-SA"/>
        </w:rPr>
      </w:r>
      <w:r/>
    </w:p>
    <w:p>
      <w:pPr>
        <w:jc w:val="center"/>
        <w:spacing w:line="276" w:lineRule="auto"/>
        <w:rPr>
          <w:rFonts w:eastAsia="Calibri"/>
          <w:b/>
          <w:sz w:val="28"/>
          <w:szCs w:val="28"/>
          <w:lang w:bidi="ar-SA"/>
        </w:rPr>
      </w:pPr>
      <w:r>
        <w:rPr>
          <w:rFonts w:eastAsia="Calibri"/>
          <w:b/>
          <w:sz w:val="28"/>
          <w:szCs w:val="28"/>
          <w:lang w:bidi="ar-SA"/>
        </w:rPr>
        <w:t xml:space="preserve">«</w:t>
      </w:r>
      <w:r>
        <w:rPr>
          <w:rFonts w:eastAsia="Calibri"/>
          <w:b/>
          <w:sz w:val="28"/>
          <w:szCs w:val="28"/>
          <w:lang w:bidi="ar-SA"/>
        </w:rPr>
        <w:t xml:space="preserve">О ежемесячной денежной выплате дет</w:t>
      </w:r>
      <w:r>
        <w:rPr>
          <w:rFonts w:eastAsia="Calibri"/>
          <w:b/>
          <w:sz w:val="28"/>
          <w:szCs w:val="28"/>
          <w:lang w:bidi="ar-SA"/>
        </w:rPr>
        <w:t xml:space="preserve">ям в возрасте до 18 лет, страдающи</w:t>
      </w:r>
      <w:r>
        <w:rPr>
          <w:rFonts w:eastAsia="Calibri"/>
          <w:b/>
          <w:sz w:val="28"/>
          <w:szCs w:val="28"/>
          <w:lang w:bidi="ar-SA"/>
        </w:rPr>
        <w:t xml:space="preserve">м фенилкетонурией</w:t>
      </w:r>
      <w:r>
        <w:rPr>
          <w:rFonts w:eastAsia="Calibri"/>
          <w:b/>
          <w:sz w:val="28"/>
          <w:szCs w:val="28"/>
          <w:lang w:bidi="ar-SA"/>
        </w:rPr>
        <w:t xml:space="preserve">»</w:t>
      </w:r>
      <w:r/>
    </w:p>
    <w:p>
      <w:pPr>
        <w:jc w:val="both"/>
        <w:spacing w:line="276" w:lineRule="auto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</w:r>
      <w:r/>
    </w:p>
    <w:p>
      <w:pPr>
        <w:jc w:val="center"/>
        <w:spacing w:line="276" w:lineRule="auto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Принят</w:t>
      </w:r>
      <w:r>
        <w:rPr>
          <w:rFonts w:eastAsia="Calibri"/>
          <w:sz w:val="28"/>
          <w:szCs w:val="28"/>
          <w:lang w:bidi="ar-SA"/>
        </w:rPr>
        <w:t xml:space="preserve"> Брянской областной Думой       ____    __________ 2023 года</w:t>
      </w:r>
      <w:r/>
    </w:p>
    <w:p>
      <w:pPr>
        <w:jc w:val="both"/>
        <w:spacing w:line="276" w:lineRule="auto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bidi="ar-SA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 w:eastAsia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bidi="ar-SA"/>
        </w:rPr>
        <w:t xml:space="preserve">Статья 1. Предмет регулирования настоящего Закона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bidi="ar-SA"/>
        </w:rPr>
      </w:r>
      <w:r>
        <w:rPr>
          <w:rFonts w:ascii="Times New Roman" w:hAnsi="Times New Roman" w:cs="Times New Roman" w:eastAsia="Times New Roman"/>
          <w:b w:val="0"/>
          <w:bCs/>
          <w:sz w:val="28"/>
          <w:szCs w:val="28"/>
          <w:lang w:bidi="ar-SA"/>
        </w:rPr>
        <w:t xml:space="preserve">Настоя</w:t>
      </w:r>
      <w:r>
        <w:rPr>
          <w:rFonts w:ascii="Times New Roman" w:hAnsi="Times New Roman" w:cs="Times New Roman" w:eastAsia="Times New Roman"/>
          <w:b w:val="0"/>
          <w:bCs/>
          <w:sz w:val="28"/>
          <w:szCs w:val="28"/>
          <w:lang w:bidi="ar-SA"/>
        </w:rPr>
        <w:t xml:space="preserve">щий Закон устанавливает дополнительную меру социальной поддержки детей в возрасте до 18 лет, страдающих фенилкетонурией, в виде предоставления ежемесячной денежной выплаты (далее – ежемесячная выплата).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Статья 2. Право на получение ежемесячной выплаты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09"/>
        <w:numPr>
          <w:ilvl w:val="0"/>
          <w:numId w:val="12"/>
        </w:num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Право 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получение ежемесячной выплаты имеет один из родителей (иной законный представитель) на каждого совместно проживающего с ним ребенка в возрасте до 18 лет, страдающего </w:t>
      </w:r>
      <w:r>
        <w:rPr>
          <w:rFonts w:ascii="Times New Roman" w:hAnsi="Times New Roman" w:cs="Times New Roman" w:eastAsia="Times New Roman"/>
          <w:b w:val="0"/>
          <w:bCs/>
          <w:sz w:val="28"/>
          <w:szCs w:val="28"/>
          <w:lang w:bidi="ar-SA"/>
        </w:rPr>
        <w:t xml:space="preserve">фенилкетонур</w:t>
      </w:r>
      <w:r>
        <w:rPr>
          <w:rFonts w:ascii="Times New Roman" w:hAnsi="Times New Roman" w:cs="Times New Roman" w:eastAsia="Times New Roman"/>
          <w:b w:val="0"/>
          <w:bCs/>
          <w:sz w:val="28"/>
          <w:szCs w:val="28"/>
          <w:lang w:bidi="ar-SA"/>
        </w:rPr>
        <w:t xml:space="preserve">ией,</w:t>
      </w:r>
      <w:r>
        <w:rPr>
          <w:rFonts w:ascii="Times New Roman" w:hAnsi="Times New Roman" w:cs="Times New Roman" w:eastAsia="Times New Roman"/>
          <w:b w:val="0"/>
          <w:bCs/>
          <w:sz w:val="28"/>
          <w:szCs w:val="28"/>
          <w:highlight w:val="white"/>
          <w:lang w:bidi="ar-SA"/>
        </w:rPr>
        <w:t xml:space="preserve"> сведения о котором включены в региональный сегмент Федерального </w:t>
      </w:r>
      <w:r>
        <w:rPr>
          <w:rFonts w:ascii="Times New Roman" w:hAnsi="Times New Roman" w:cs="Times New Roman" w:eastAsia="Times New Roman"/>
          <w:b w:val="0"/>
          <w:bCs/>
          <w:sz w:val="28"/>
          <w:szCs w:val="28"/>
          <w:highlight w:val="white"/>
          <w:lang w:bidi="ar-SA"/>
        </w:rPr>
        <w:t xml:space="preserve">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</w:t>
      </w:r>
      <w:r>
        <w:rPr>
          <w:rFonts w:ascii="Times New Roman" w:hAnsi="Times New Roman" w:cs="Times New Roman" w:eastAsia="Times New Roman"/>
          <w:b w:val="0"/>
          <w:bCs/>
          <w:sz w:val="28"/>
          <w:szCs w:val="28"/>
          <w:highlight w:val="white"/>
          <w:lang w:bidi="ar-SA"/>
        </w:rPr>
        <w:t xml:space="preserve"> или их инвалидности.</w:t>
      </w:r>
      <w:r>
        <w:rPr>
          <w:rFonts w:ascii="Times New Roman" w:hAnsi="Times New Roman" w:cs="Times New Roman" w:eastAsia="Times New Roman"/>
          <w:b w:val="0"/>
          <w:bCs/>
          <w:sz w:val="28"/>
          <w:szCs w:val="28"/>
          <w:highlight w:val="white"/>
          <w:lang w:bidi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09"/>
        <w:numPr>
          <w:ilvl w:val="0"/>
          <w:numId w:val="12"/>
        </w:num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Действие настоящего Закона распространяется на граждан Российской Федерации, постоянно проживающих на территории Брянской области.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09"/>
        <w:numPr>
          <w:ilvl w:val="0"/>
          <w:numId w:val="12"/>
        </w:numPr>
        <w:ind w:left="0" w:firstLine="709"/>
        <w:jc w:val="both"/>
        <w:spacing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bidi="ar-SA"/>
        </w:rPr>
        <w:t xml:space="preserve">Ежемесячная денежная выплата не предоставляется в случае получения одним из родителей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(иным законным представителем)</w:t>
      </w:r>
      <w:r>
        <w:rPr>
          <w:rFonts w:ascii="Times New Roman" w:hAnsi="Times New Roman" w:cs="Times New Roman" w:eastAsia="Times New Roman"/>
          <w:sz w:val="28"/>
          <w:szCs w:val="28"/>
          <w:lang w:bidi="ar-SA"/>
        </w:rPr>
        <w:t xml:space="preserve"> на ребенка до 18 лет, страдающего фенилкетонурией,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аналогичной дополнительной меры социальной поддержки</w:t>
      </w:r>
      <w:r>
        <w:rPr>
          <w:rFonts w:ascii="Times New Roman" w:hAnsi="Times New Roman" w:cs="Times New Roman" w:eastAsia="Times New Roman"/>
          <w:color w:val="444444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осуществляемой за счет средств бюджетов иных субъектов Российской Федерации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bidi="ar-SA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09" w:firstLine="0"/>
        <w:jc w:val="both"/>
        <w:spacing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bidi="ar-SA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8"/>
          <w:szCs w:val="28"/>
          <w:lang w:bidi="ar-SA"/>
        </w:rPr>
        <w:t xml:space="preserve">Статья 3.</w:t>
      </w:r>
      <w:r>
        <w:rPr>
          <w:rFonts w:ascii="Times New Roman" w:hAnsi="Times New Roman" w:cs="Times New Roman" w:eastAsia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bidi="ar-SA"/>
        </w:rPr>
        <w:t xml:space="preserve">Размер ежемесячной выплаты</w:t>
      </w:r>
      <w:r>
        <w:rPr>
          <w:rFonts w:ascii="Times New Roman" w:hAnsi="Times New Roman" w:cs="Times New Roman" w:eastAsia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09"/>
        <w:numPr>
          <w:ilvl w:val="0"/>
          <w:numId w:val="13"/>
        </w:num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  <w:lang w:bidi="ar-SA"/>
        </w:rPr>
        <w:t xml:space="preserve">Размер ежемесячной выплаты составляет 5 000 рублей.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09"/>
        <w:numPr>
          <w:ilvl w:val="0"/>
          <w:numId w:val="13"/>
        </w:num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  <w:lang w:bidi="ar-SA"/>
        </w:rPr>
        <w:t xml:space="preserve">Размер ежемесячной выплаты подлежит индексации </w:t>
      </w: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  <w:t xml:space="preserve"> в порядке и в сроки, определяемые Правительством Брянской области в пределах средств, предусмотренных на эти цели законом об областном бюджете на соответствующий финансовый год и плановый период.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09" w:right="0" w:firstLine="0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09" w:right="0" w:firstLine="0"/>
        <w:jc w:val="both"/>
        <w:spacing w:line="276" w:lineRule="auto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  <w:lang w:bidi="ar-SA"/>
        </w:rPr>
        <w:t xml:space="preserve">Статья 4. Порядок предоставления ежемесячной выплаты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09"/>
        <w:numPr>
          <w:ilvl w:val="0"/>
          <w:numId w:val="14"/>
        </w:num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  <w:lang w:bidi="ar-SA"/>
        </w:rPr>
        <w:t xml:space="preserve">Порядок предоставления ежемесячной выплаты устанавливается Правительством Брянской области.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09"/>
        <w:numPr>
          <w:ilvl w:val="0"/>
          <w:numId w:val="14"/>
        </w:num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lang w:val="ru-RU"/>
        </w:rPr>
        <w:t xml:space="preserve">Дополнительная мера социальной поддержки в виде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ежемесячной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денежной выплаты детям в возрасте до 18 лет, страдающим фенилкетонурией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lang w:val="ru-RU"/>
        </w:rPr>
        <w:t xml:space="preserve">, не учитывается при определении материального обеспечения (дохода, совокупного дохода семьи) гражданина (семьи) при определении права н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lang w:val="ru-RU"/>
        </w:rPr>
        <w:t xml:space="preserve">а  получение иных мер социальной поддержки, в том числе адресной социальной помощи, государственной социальной помощи, государственных пособий, компенсаций, доплат к пенсиям, иных социальных выплат, субсидии на оплату жилого помещения и коммунальных услуг.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09"/>
        <w:numPr>
          <w:ilvl w:val="0"/>
          <w:numId w:val="14"/>
        </w:num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  <w:lang w:bidi="ar-SA"/>
        </w:rPr>
        <w:t xml:space="preserve">Информация о ежемесячной выплате размещается в Единой государственной информационной системе социального обеспечения.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  <w:lang w:bidi="ar-SA"/>
        </w:rPr>
        <w:t xml:space="preserve">Информирование граждан о ежемесячной денежной выплате осуществляется в соответствии с Федеральным законом  от 17 июля 1999 года № 178 - ФЗ «О государственной социальной помощи».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  <w:lang w:bidi="ar-SA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  <w:lang w:bidi="ar-SA"/>
        </w:rPr>
        <w:t xml:space="preserve">Статья 5. Финансовое обеспечение ежемесячной выплаты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Финансирование расходов по предоставлению ежемесячной выплаты, предусмотренной настоящим 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Законом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, осуществляется за счет средств бюджета 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Брянской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highlight w:val="none"/>
          <w:lang w:bidi="ar-SA"/>
        </w:rPr>
        <w:t xml:space="preserve">Статья 6. Вступление в силу настоящего Закона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22272F"/>
          <w:sz w:val="28"/>
          <w:highlight w:val="none"/>
        </w:rPr>
        <w:t xml:space="preserve">Настоящий </w:t>
      </w:r>
      <w:r>
        <w:rPr>
          <w:rFonts w:ascii="Times New Roman" w:hAnsi="Times New Roman" w:cs="Times New Roman" w:eastAsia="Times New Roman"/>
          <w:color w:val="22272F"/>
          <w:sz w:val="28"/>
          <w:highlight w:val="none"/>
        </w:rPr>
        <w:t xml:space="preserve">Закон</w:t>
      </w:r>
      <w:r>
        <w:rPr>
          <w:rFonts w:ascii="Times New Roman" w:hAnsi="Times New Roman" w:cs="Times New Roman" w:eastAsia="Times New Roman"/>
          <w:color w:val="22272F"/>
          <w:sz w:val="28"/>
          <w:highlight w:val="none"/>
        </w:rPr>
        <w:t xml:space="preserve"> вступает в силу по истечении десяти дней после дня его 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официального опубликования</w:t>
      </w:r>
      <w:r>
        <w:rPr>
          <w:rFonts w:ascii="Times New Roman" w:hAnsi="Times New Roman" w:cs="Times New Roman" w:eastAsia="Times New Roman"/>
          <w:color w:val="22272F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lang w:bidi="ar-SA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  <w:lang w:bidi="ar-SA"/>
        </w:rPr>
        <w:t xml:space="preserve">Положение пункта 2 статьи 3 настоящего Закона применяются к правоотношениям, возникающим при составлении и исполнении областного бюджета, начиная с 1 января 2024 года.</w:t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bidi="ar-SA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bidi="ar-SA"/>
        </w:rPr>
        <w:t xml:space="preserve">Губернатор Брянской области                                                         А.В. Богомаз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bidi="ar-SA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bidi="ar-SA"/>
        </w:rPr>
        <w:t xml:space="preserve">г. Брянск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bidi="ar-SA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bidi="ar-SA"/>
        </w:rPr>
        <w:t xml:space="preserve">___</w:t>
      </w:r>
      <w:r>
        <w:rPr>
          <w:rFonts w:ascii="Times New Roman" w:hAnsi="Times New Roman" w:cs="Times New Roman" w:eastAsia="Times New Roman"/>
          <w:sz w:val="28"/>
          <w:szCs w:val="28"/>
          <w:lang w:bidi="ar-SA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bidi="ar-SA"/>
        </w:rPr>
        <w:t xml:space="preserve">_____________2023 года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bidi="ar-SA"/>
        </w:rPr>
        <w:t xml:space="preserve">№ ____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="276" w:lineRule="auto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</w:r>
      <w:r>
        <w:rPr>
          <w:rFonts w:eastAsia="Calibri"/>
          <w:sz w:val="28"/>
          <w:szCs w:val="28"/>
          <w:lang w:bidi="ar-SA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1"/>
      <w:numFmt w:val="bullet"/>
      <w:isLgl w:val="false"/>
      <w:suff w:val="tab"/>
      <w:lvlText w:val="-"/>
      <w:lvlJc w:val="left"/>
      <w:pPr>
        <w:ind w:left="90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41"/>
      <w:numFmt w:val="bullet"/>
      <w:isLgl w:val="false"/>
      <w:suff w:val="tab"/>
      <w:lvlText w:val="-"/>
      <w:lvlJc w:val="left"/>
      <w:pPr>
        <w:ind w:left="90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Endnote Text Char"/>
    <w:link w:val="680"/>
    <w:uiPriority w:val="99"/>
    <w:rPr>
      <w:sz w:val="20"/>
    </w:rPr>
  </w:style>
  <w:style w:type="paragraph" w:styleId="665" w:default="1">
    <w:name w:val="Normal"/>
    <w:qFormat/>
  </w:style>
  <w:style w:type="paragraph" w:styleId="666">
    <w:name w:val="Heading 1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67">
    <w:name w:val="Heading 2"/>
    <w:basedOn w:val="665"/>
    <w:next w:val="665"/>
    <w:link w:val="701"/>
    <w:pPr>
      <w:keepNext/>
      <w:widowControl w:val="off"/>
      <w:outlineLvl w:val="1"/>
    </w:pPr>
    <w:rPr>
      <w:b/>
      <w:bCs/>
      <w:sz w:val="28"/>
      <w:szCs w:val="20"/>
    </w:rPr>
  </w:style>
  <w:style w:type="paragraph" w:styleId="668">
    <w:name w:val="Heading 3"/>
    <w:basedOn w:val="665"/>
    <w:next w:val="665"/>
    <w:link w:val="70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69">
    <w:name w:val="Heading 4"/>
    <w:basedOn w:val="665"/>
    <w:next w:val="665"/>
    <w:link w:val="7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70">
    <w:name w:val="Heading 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1">
    <w:name w:val="Heading 6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72">
    <w:name w:val="Heading 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73">
    <w:name w:val="Heading 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74">
    <w:name w:val="Heading 9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5" w:default="1">
    <w:name w:val="Default Paragraph Font"/>
    <w:uiPriority w:val="1"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 w:customStyle="1">
    <w:name w:val="Caption Char"/>
    <w:uiPriority w:val="99"/>
  </w:style>
  <w:style w:type="paragraph" w:styleId="680">
    <w:name w:val="endnote text"/>
    <w:basedOn w:val="665"/>
    <w:link w:val="681"/>
    <w:uiPriority w:val="99"/>
    <w:semiHidden/>
    <w:unhideWhenUsed/>
    <w:rPr>
      <w:sz w:val="20"/>
    </w:rPr>
  </w:style>
  <w:style w:type="character" w:styleId="681" w:customStyle="1">
    <w:name w:val="Текст концевой сноски Знак"/>
    <w:link w:val="680"/>
    <w:uiPriority w:val="99"/>
    <w:rPr>
      <w:sz w:val="20"/>
    </w:rPr>
  </w:style>
  <w:style w:type="character" w:styleId="682">
    <w:name w:val="endnote reference"/>
    <w:basedOn w:val="675"/>
    <w:uiPriority w:val="99"/>
    <w:semiHidden/>
    <w:unhideWhenUsed/>
    <w:rPr>
      <w:vertAlign w:val="superscript"/>
    </w:rPr>
  </w:style>
  <w:style w:type="paragraph" w:styleId="683">
    <w:name w:val="table of figures"/>
    <w:basedOn w:val="665"/>
    <w:next w:val="665"/>
    <w:uiPriority w:val="99"/>
    <w:unhideWhenUsed/>
  </w:style>
  <w:style w:type="character" w:styleId="684" w:customStyle="1">
    <w:name w:val="Heading 1 Char"/>
    <w:basedOn w:val="675"/>
    <w:uiPriority w:val="9"/>
    <w:rPr>
      <w:rFonts w:ascii="Arial" w:hAnsi="Arial" w:cs="Arial" w:eastAsia="Arial"/>
      <w:sz w:val="40"/>
      <w:szCs w:val="40"/>
    </w:rPr>
  </w:style>
  <w:style w:type="character" w:styleId="685" w:customStyle="1">
    <w:name w:val="Heading 2 Char"/>
    <w:basedOn w:val="675"/>
    <w:uiPriority w:val="9"/>
    <w:rPr>
      <w:rFonts w:ascii="Arial" w:hAnsi="Arial" w:cs="Arial" w:eastAsia="Arial"/>
      <w:sz w:val="34"/>
    </w:rPr>
  </w:style>
  <w:style w:type="character" w:styleId="686" w:customStyle="1">
    <w:name w:val="Heading 3 Char"/>
    <w:basedOn w:val="675"/>
    <w:uiPriority w:val="9"/>
    <w:rPr>
      <w:rFonts w:ascii="Arial" w:hAnsi="Arial" w:cs="Arial" w:eastAsia="Arial"/>
      <w:sz w:val="30"/>
      <w:szCs w:val="30"/>
    </w:rPr>
  </w:style>
  <w:style w:type="character" w:styleId="687" w:customStyle="1">
    <w:name w:val="Heading 4 Char"/>
    <w:basedOn w:val="675"/>
    <w:uiPriority w:val="9"/>
    <w:rPr>
      <w:rFonts w:ascii="Arial" w:hAnsi="Arial" w:cs="Arial" w:eastAsia="Arial"/>
      <w:b/>
      <w:bCs/>
      <w:sz w:val="26"/>
      <w:szCs w:val="26"/>
    </w:rPr>
  </w:style>
  <w:style w:type="character" w:styleId="688" w:customStyle="1">
    <w:name w:val="Heading 5 Char"/>
    <w:basedOn w:val="675"/>
    <w:uiPriority w:val="9"/>
    <w:rPr>
      <w:rFonts w:ascii="Arial" w:hAnsi="Arial" w:cs="Arial" w:eastAsia="Arial"/>
      <w:b/>
      <w:bCs/>
      <w:sz w:val="24"/>
      <w:szCs w:val="24"/>
    </w:rPr>
  </w:style>
  <w:style w:type="character" w:styleId="689" w:customStyle="1">
    <w:name w:val="Heading 6 Char"/>
    <w:basedOn w:val="675"/>
    <w:uiPriority w:val="9"/>
    <w:rPr>
      <w:rFonts w:ascii="Arial" w:hAnsi="Arial" w:cs="Arial" w:eastAsia="Arial"/>
      <w:b/>
      <w:bCs/>
      <w:sz w:val="22"/>
      <w:szCs w:val="22"/>
    </w:rPr>
  </w:style>
  <w:style w:type="character" w:styleId="690" w:customStyle="1">
    <w:name w:val="Heading 7 Char"/>
    <w:basedOn w:val="6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1" w:customStyle="1">
    <w:name w:val="Heading 8 Char"/>
    <w:basedOn w:val="675"/>
    <w:uiPriority w:val="9"/>
    <w:rPr>
      <w:rFonts w:ascii="Arial" w:hAnsi="Arial" w:cs="Arial" w:eastAsia="Arial"/>
      <w:i/>
      <w:iCs/>
      <w:sz w:val="22"/>
      <w:szCs w:val="22"/>
    </w:rPr>
  </w:style>
  <w:style w:type="character" w:styleId="692" w:customStyle="1">
    <w:name w:val="Heading 9 Char"/>
    <w:basedOn w:val="675"/>
    <w:uiPriority w:val="9"/>
    <w:rPr>
      <w:rFonts w:ascii="Arial" w:hAnsi="Arial" w:cs="Arial" w:eastAsia="Arial"/>
      <w:i/>
      <w:iCs/>
      <w:sz w:val="21"/>
      <w:szCs w:val="21"/>
    </w:rPr>
  </w:style>
  <w:style w:type="character" w:styleId="693" w:customStyle="1">
    <w:name w:val="Title Char"/>
    <w:basedOn w:val="675"/>
    <w:uiPriority w:val="10"/>
    <w:rPr>
      <w:sz w:val="48"/>
      <w:szCs w:val="48"/>
    </w:rPr>
  </w:style>
  <w:style w:type="character" w:styleId="694" w:customStyle="1">
    <w:name w:val="Subtitle Char"/>
    <w:basedOn w:val="675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Header Char"/>
    <w:basedOn w:val="675"/>
    <w:uiPriority w:val="99"/>
  </w:style>
  <w:style w:type="character" w:styleId="698" w:customStyle="1">
    <w:name w:val="Footer Char"/>
    <w:basedOn w:val="675"/>
    <w:uiPriority w:val="99"/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Заголовок 1 Знак"/>
    <w:link w:val="666"/>
    <w:uiPriority w:val="9"/>
    <w:rPr>
      <w:rFonts w:ascii="Arial" w:hAnsi="Arial" w:cs="Arial" w:eastAsia="Arial"/>
      <w:sz w:val="40"/>
      <w:szCs w:val="40"/>
    </w:rPr>
  </w:style>
  <w:style w:type="character" w:styleId="701" w:customStyle="1">
    <w:name w:val="Заголовок 2 Знак"/>
    <w:link w:val="667"/>
    <w:uiPriority w:val="9"/>
    <w:rPr>
      <w:rFonts w:ascii="Arial" w:hAnsi="Arial" w:cs="Arial" w:eastAsia="Arial"/>
      <w:sz w:val="34"/>
    </w:rPr>
  </w:style>
  <w:style w:type="character" w:styleId="702" w:customStyle="1">
    <w:name w:val="Заголовок 3 Знак"/>
    <w:link w:val="668"/>
    <w:uiPriority w:val="9"/>
    <w:rPr>
      <w:rFonts w:ascii="Arial" w:hAnsi="Arial" w:cs="Arial" w:eastAsia="Arial"/>
      <w:sz w:val="30"/>
      <w:szCs w:val="30"/>
    </w:rPr>
  </w:style>
  <w:style w:type="character" w:styleId="703" w:customStyle="1">
    <w:name w:val="Заголовок 4 Знак"/>
    <w:link w:val="669"/>
    <w:uiPriority w:val="9"/>
    <w:rPr>
      <w:rFonts w:ascii="Arial" w:hAnsi="Arial" w:cs="Arial" w:eastAsia="Arial"/>
      <w:b/>
      <w:bCs/>
      <w:sz w:val="26"/>
      <w:szCs w:val="26"/>
    </w:rPr>
  </w:style>
  <w:style w:type="character" w:styleId="704" w:customStyle="1">
    <w:name w:val="Заголовок 5 Знак"/>
    <w:link w:val="670"/>
    <w:uiPriority w:val="9"/>
    <w:rPr>
      <w:rFonts w:ascii="Arial" w:hAnsi="Arial" w:cs="Arial" w:eastAsia="Arial"/>
      <w:b/>
      <w:bCs/>
      <w:sz w:val="24"/>
      <w:szCs w:val="24"/>
    </w:rPr>
  </w:style>
  <w:style w:type="character" w:styleId="705" w:customStyle="1">
    <w:name w:val="Заголовок 6 Знак"/>
    <w:link w:val="671"/>
    <w:uiPriority w:val="9"/>
    <w:rPr>
      <w:rFonts w:ascii="Arial" w:hAnsi="Arial" w:cs="Arial" w:eastAsia="Arial"/>
      <w:b/>
      <w:bCs/>
      <w:sz w:val="22"/>
      <w:szCs w:val="22"/>
    </w:rPr>
  </w:style>
  <w:style w:type="character" w:styleId="706" w:customStyle="1">
    <w:name w:val="Заголовок 7 Знак"/>
    <w:link w:val="6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73"/>
    <w:uiPriority w:val="9"/>
    <w:rPr>
      <w:rFonts w:ascii="Arial" w:hAnsi="Arial" w:cs="Arial" w:eastAsia="Arial"/>
      <w:i/>
      <w:iCs/>
      <w:sz w:val="22"/>
      <w:szCs w:val="22"/>
    </w:rPr>
  </w:style>
  <w:style w:type="character" w:styleId="708" w:customStyle="1">
    <w:name w:val="Заголовок 9 Знак"/>
    <w:link w:val="674"/>
    <w:uiPriority w:val="9"/>
    <w:rPr>
      <w:rFonts w:ascii="Arial" w:hAnsi="Arial" w:cs="Arial" w:eastAsia="Arial"/>
      <w:i/>
      <w:iCs/>
      <w:sz w:val="21"/>
      <w:szCs w:val="21"/>
    </w:rPr>
  </w:style>
  <w:style w:type="paragraph" w:styleId="709">
    <w:name w:val="List Paragraph"/>
    <w:uiPriority w:val="34"/>
    <w:qFormat/>
    <w:pPr>
      <w:contextualSpacing/>
      <w:ind w:left="720"/>
    </w:pPr>
  </w:style>
  <w:style w:type="paragraph" w:styleId="710">
    <w:name w:val="No Spacing"/>
    <w:uiPriority w:val="1"/>
    <w:qFormat/>
  </w:style>
  <w:style w:type="paragraph" w:styleId="711">
    <w:name w:val="Title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link w:val="719"/>
    <w:uiPriority w:val="99"/>
  </w:style>
  <w:style w:type="paragraph" w:styleId="721">
    <w:name w:val="Footer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Нижний колонтитул Знак"/>
    <w:link w:val="721"/>
    <w:uiPriority w:val="99"/>
  </w:style>
  <w:style w:type="table" w:styleId="723">
    <w:name w:val="Table Grid"/>
    <w:basedOn w:val="67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/>
      </w:tcPr>
    </w:tblStylePr>
    <w:tblStylePr w:type="band1Vert">
      <w:tcPr>
        <w:shd w:val="clear" w:color="auto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/>
      </w:tcPr>
    </w:tblStylePr>
    <w:tblStylePr w:type="band1Vert">
      <w:tcPr>
        <w:shd w:val="clear" w:color="auto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/>
      </w:tcPr>
    </w:tblStylePr>
    <w:tblStylePr w:type="band1Vert">
      <w:tcPr>
        <w:shd w:val="clear" w:color="auto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/>
      </w:tcPr>
    </w:tblStylePr>
    <w:tblStylePr w:type="band1Vert">
      <w:tcPr>
        <w:shd w:val="clear" w:color="auto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/>
      </w:tcPr>
    </w:tblStylePr>
    <w:tblStylePr w:type="band1Vert">
      <w:tcPr>
        <w:shd w:val="clear" w:color="auto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/>
      </w:tcPr>
    </w:tblStylePr>
    <w:tblStylePr w:type="band1Vert">
      <w:tcPr>
        <w:shd w:val="clear" w:color="auto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/>
      </w:tcPr>
    </w:tblStylePr>
    <w:tblStylePr w:type="band1Vert"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/>
      </w:tcPr>
    </w:tblStylePr>
    <w:tblStylePr w:type="band1Vert"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/>
      </w:tcPr>
    </w:tblStylePr>
    <w:tblStylePr w:type="band1Vert"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/>
      </w:tcPr>
    </w:tblStylePr>
    <w:tblStylePr w:type="band1Vert"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/>
      </w:tcPr>
    </w:tblStylePr>
    <w:tblStylePr w:type="band1Vert"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/>
      </w:tcPr>
    </w:tblStylePr>
    <w:tblStylePr w:type="band1Vert"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/>
      </w:tcPr>
    </w:tblStylePr>
    <w:tblStylePr w:type="band1Vert"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/>
      </w:tcPr>
    </w:tblStylePr>
    <w:tblStylePr w:type="band1Vert"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/>
      </w:tcPr>
    </w:tblStylePr>
    <w:tblStylePr w:type="band1Vert"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/>
      </w:tcPr>
    </w:tblStylePr>
    <w:tblStylePr w:type="band1Vert"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/>
      </w:tcPr>
    </w:tblStylePr>
    <w:tblStylePr w:type="band1Vert"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/>
      </w:tcPr>
    </w:tblStylePr>
    <w:tblStylePr w:type="band1Vert"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29" w:customStyle="1">
    <w:name w:val="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/>
      </w:tcPr>
    </w:tblStylePr>
  </w:style>
  <w:style w:type="table" w:styleId="830" w:customStyle="1">
    <w:name w:val="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/>
      </w:tcPr>
    </w:tblStylePr>
  </w:style>
  <w:style w:type="table" w:styleId="831" w:customStyle="1">
    <w:name w:val="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/>
      </w:tcPr>
    </w:tblStylePr>
  </w:style>
  <w:style w:type="table" w:styleId="832" w:customStyle="1">
    <w:name w:val="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/>
      </w:tcPr>
    </w:tblStylePr>
  </w:style>
  <w:style w:type="table" w:styleId="833" w:customStyle="1">
    <w:name w:val="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34" w:customStyle="1">
    <w:name w:val="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35" w:customStyle="1">
    <w:name w:val="Bordered &amp; 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36" w:customStyle="1">
    <w:name w:val="Bordered &amp; 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/>
      </w:tcPr>
    </w:tblStylePr>
  </w:style>
  <w:style w:type="table" w:styleId="837" w:customStyle="1">
    <w:name w:val="Bordered &amp; 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/>
      </w:tcPr>
    </w:tblStylePr>
  </w:style>
  <w:style w:type="table" w:styleId="838" w:customStyle="1">
    <w:name w:val="Bordered &amp; 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/>
      </w:tcPr>
    </w:tblStylePr>
  </w:style>
  <w:style w:type="table" w:styleId="839" w:customStyle="1">
    <w:name w:val="Bordered &amp; 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/>
      </w:tcPr>
    </w:tblStylePr>
  </w:style>
  <w:style w:type="table" w:styleId="840" w:customStyle="1">
    <w:name w:val="Bordered &amp; 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41" w:customStyle="1">
    <w:name w:val="Bordered &amp; 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4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toc 1"/>
    <w:uiPriority w:val="39"/>
    <w:unhideWhenUsed/>
    <w:pPr>
      <w:spacing w:after="57"/>
    </w:pPr>
  </w:style>
  <w:style w:type="paragraph" w:styleId="854">
    <w:name w:val="toc 2"/>
    <w:uiPriority w:val="39"/>
    <w:unhideWhenUsed/>
    <w:pPr>
      <w:ind w:left="283"/>
      <w:spacing w:after="57"/>
    </w:pPr>
  </w:style>
  <w:style w:type="paragraph" w:styleId="855">
    <w:name w:val="toc 3"/>
    <w:uiPriority w:val="39"/>
    <w:unhideWhenUsed/>
    <w:pPr>
      <w:ind w:left="567"/>
      <w:spacing w:after="57"/>
    </w:pPr>
  </w:style>
  <w:style w:type="paragraph" w:styleId="856">
    <w:name w:val="toc 4"/>
    <w:uiPriority w:val="39"/>
    <w:unhideWhenUsed/>
    <w:pPr>
      <w:ind w:left="850"/>
      <w:spacing w:after="57"/>
    </w:pPr>
  </w:style>
  <w:style w:type="paragraph" w:styleId="857">
    <w:name w:val="toc 5"/>
    <w:uiPriority w:val="39"/>
    <w:unhideWhenUsed/>
    <w:pPr>
      <w:ind w:left="1134"/>
      <w:spacing w:after="57"/>
    </w:pPr>
  </w:style>
  <w:style w:type="paragraph" w:styleId="858">
    <w:name w:val="toc 6"/>
    <w:uiPriority w:val="39"/>
    <w:unhideWhenUsed/>
    <w:pPr>
      <w:ind w:left="1417"/>
      <w:spacing w:after="57"/>
    </w:pPr>
  </w:style>
  <w:style w:type="paragraph" w:styleId="859">
    <w:name w:val="toc 7"/>
    <w:uiPriority w:val="39"/>
    <w:unhideWhenUsed/>
    <w:pPr>
      <w:ind w:left="1701"/>
      <w:spacing w:after="57"/>
    </w:pPr>
  </w:style>
  <w:style w:type="paragraph" w:styleId="860">
    <w:name w:val="toc 8"/>
    <w:uiPriority w:val="39"/>
    <w:unhideWhenUsed/>
    <w:pPr>
      <w:ind w:left="1984"/>
      <w:spacing w:after="57"/>
    </w:pPr>
  </w:style>
  <w:style w:type="paragraph" w:styleId="861">
    <w:name w:val="toc 9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 w:customStyle="1">
    <w:name w:val="Знак"/>
    <w:basedOn w:val="66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64" w:customStyle="1">
    <w:name w:val="Знак Знак Знак"/>
    <w:basedOn w:val="66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65" w:customStyle="1">
    <w:name w:val="ConsPlusNormal"/>
    <w:pPr>
      <w:ind w:firstLine="720"/>
      <w:widowControl w:val="off"/>
    </w:pPr>
    <w:rPr>
      <w:rFonts w:ascii="Arial" w:hAnsi="Arial"/>
      <w:lang w:bidi="ar-SA" w:eastAsia="ru-RU"/>
    </w:rPr>
  </w:style>
  <w:style w:type="paragraph" w:styleId="866" w:customStyle="1">
    <w:name w:val="ConsPlusTitle"/>
    <w:pPr>
      <w:widowControl w:val="off"/>
    </w:pPr>
    <w:rPr>
      <w:rFonts w:ascii="Arial" w:hAnsi="Arial"/>
      <w:b/>
      <w:bCs/>
      <w:lang w:bidi="ar-SA" w:eastAsia="ru-RU"/>
    </w:rPr>
  </w:style>
  <w:style w:type="paragraph" w:styleId="867">
    <w:name w:val="Balloon Text"/>
    <w:basedOn w:val="665"/>
    <w:semiHidden/>
    <w:rPr>
      <w:rFonts w:ascii="Tahoma" w:hAnsi="Tahoma"/>
      <w:sz w:val="16"/>
      <w:szCs w:val="16"/>
    </w:rPr>
  </w:style>
  <w:style w:type="character" w:styleId="868" w:customStyle="1">
    <w:name w:val="extended-text__short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7FFEF4E-A49F-4EDE-8233-385879216001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Боркина</dc:creator>
  <cp:revision>61</cp:revision>
  <dcterms:created xsi:type="dcterms:W3CDTF">2021-10-08T04:48:00Z</dcterms:created>
  <dcterms:modified xsi:type="dcterms:W3CDTF">2023-02-27T11:56:23Z</dcterms:modified>
</cp:coreProperties>
</file>